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A30D0E"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Solicitamos esclarecimentos referente ao processo licitatório em tela.</w:t>
      </w:r>
    </w:p>
    <w:p w14:paraId="2638C09B"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 </w:t>
      </w:r>
    </w:p>
    <w:p w14:paraId="6A41D113" w14:textId="77777777" w:rsidR="00A57A7C" w:rsidRDefault="00A57A7C" w:rsidP="00A57A7C">
      <w:pPr>
        <w:shd w:val="clear" w:color="auto" w:fill="FFFFFF"/>
        <w:spacing w:after="0" w:line="330" w:lineRule="atLeast"/>
        <w:jc w:val="both"/>
        <w:rPr>
          <w:rFonts w:ascii="Arial" w:eastAsia="Times New Roman" w:hAnsi="Arial" w:cs="Arial"/>
          <w:color w:val="444444"/>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1) Está correto nosso entendimento de que a planilha de custos e formação de preços será solicitado somente para a empresa vencedora da fase de lances?</w:t>
      </w:r>
    </w:p>
    <w:p w14:paraId="64597F81" w14:textId="77777777" w:rsidR="006B3987" w:rsidRDefault="006B3987"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p>
    <w:p w14:paraId="6936CD6B" w14:textId="7D1945EE" w:rsidR="006B3987" w:rsidRPr="006B3987" w:rsidRDefault="006B3987" w:rsidP="00A57A7C">
      <w:pPr>
        <w:shd w:val="clear" w:color="auto" w:fill="FFFFFF"/>
        <w:spacing w:after="0" w:line="330" w:lineRule="atLeast"/>
        <w:jc w:val="both"/>
        <w:rPr>
          <w:rFonts w:ascii="Arial" w:eastAsia="Times New Roman" w:hAnsi="Arial" w:cs="Arial"/>
          <w:color w:val="0070C0"/>
          <w:kern w:val="0"/>
          <w:sz w:val="24"/>
          <w:szCs w:val="24"/>
          <w:lang w:eastAsia="pt-BR"/>
          <w14:ligatures w14:val="none"/>
        </w:rPr>
      </w:pPr>
      <w:r w:rsidRPr="006B3987">
        <w:rPr>
          <w:rFonts w:ascii="Arial" w:eastAsia="Times New Roman" w:hAnsi="Arial" w:cs="Arial"/>
          <w:color w:val="0070C0"/>
          <w:kern w:val="0"/>
          <w:sz w:val="24"/>
          <w:szCs w:val="24"/>
          <w:lang w:eastAsia="pt-BR"/>
          <w14:ligatures w14:val="none"/>
        </w:rPr>
        <w:t>Sim.</w:t>
      </w:r>
    </w:p>
    <w:p w14:paraId="79FEACC7"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 </w:t>
      </w:r>
    </w:p>
    <w:p w14:paraId="3A373731" w14:textId="77777777" w:rsidR="00A57A7C" w:rsidRDefault="00A57A7C" w:rsidP="00A57A7C">
      <w:pPr>
        <w:shd w:val="clear" w:color="auto" w:fill="FFFFFF"/>
        <w:spacing w:after="0" w:line="330" w:lineRule="atLeast"/>
        <w:jc w:val="both"/>
        <w:rPr>
          <w:rFonts w:ascii="Arial" w:eastAsia="Times New Roman" w:hAnsi="Arial" w:cs="Arial"/>
          <w:color w:val="444444"/>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2) Está correto nosso entendimento de que a planilha poderá ser elaborada nos moldes da empresa, respeitada as condições da Instrução Normativa MPDG nº 05/2017 e suas alterações?</w:t>
      </w:r>
    </w:p>
    <w:p w14:paraId="53B4F41C" w14:textId="77777777" w:rsidR="006B3987" w:rsidRDefault="006B3987" w:rsidP="00A57A7C">
      <w:pPr>
        <w:shd w:val="clear" w:color="auto" w:fill="FFFFFF"/>
        <w:spacing w:after="0" w:line="330" w:lineRule="atLeast"/>
        <w:jc w:val="both"/>
        <w:rPr>
          <w:rFonts w:ascii="Arial" w:eastAsia="Times New Roman" w:hAnsi="Arial" w:cs="Arial"/>
          <w:color w:val="444444"/>
          <w:kern w:val="0"/>
          <w:sz w:val="24"/>
          <w:szCs w:val="24"/>
          <w:lang w:eastAsia="pt-BR"/>
          <w14:ligatures w14:val="none"/>
        </w:rPr>
      </w:pPr>
    </w:p>
    <w:p w14:paraId="5863108D" w14:textId="79BCBC6E" w:rsidR="006B3987" w:rsidRPr="006B3987" w:rsidRDefault="006B3987" w:rsidP="00A57A7C">
      <w:pPr>
        <w:shd w:val="clear" w:color="auto" w:fill="FFFFFF"/>
        <w:spacing w:after="0" w:line="330" w:lineRule="atLeast"/>
        <w:jc w:val="both"/>
        <w:rPr>
          <w:rFonts w:ascii="Arial" w:eastAsia="Times New Roman" w:hAnsi="Arial" w:cs="Arial"/>
          <w:color w:val="0070C0"/>
          <w:kern w:val="0"/>
          <w:sz w:val="24"/>
          <w:szCs w:val="24"/>
          <w:lang w:eastAsia="pt-BR"/>
          <w14:ligatures w14:val="none"/>
        </w:rPr>
      </w:pPr>
      <w:r w:rsidRPr="006B3987">
        <w:rPr>
          <w:rFonts w:ascii="Arial" w:eastAsia="Times New Roman" w:hAnsi="Arial" w:cs="Arial"/>
          <w:color w:val="0070C0"/>
          <w:kern w:val="0"/>
          <w:sz w:val="24"/>
          <w:szCs w:val="24"/>
          <w:lang w:eastAsia="pt-BR"/>
          <w14:ligatures w14:val="none"/>
        </w:rPr>
        <w:t>Sim.</w:t>
      </w:r>
    </w:p>
    <w:p w14:paraId="734D3807"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 </w:t>
      </w:r>
    </w:p>
    <w:p w14:paraId="746B4D97"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3) Considerando o entendimento do Acórdão TCU 369/2012, de que o sindicato/Convenção Coletiva de Trabalho indicada no edital não é de utilização obrigatória pelos licitantes, está correto nosso entendimento de que a Convenção Coletiva de Trabalho a ser utilizada deverá ser a preponderante da empresa?</w:t>
      </w:r>
    </w:p>
    <w:p w14:paraId="538C8D2B" w14:textId="77777777" w:rsidR="00A57A7C" w:rsidRPr="006B3987" w:rsidRDefault="00A57A7C" w:rsidP="00A57A7C">
      <w:pPr>
        <w:shd w:val="clear" w:color="auto" w:fill="FFFFFF"/>
        <w:spacing w:after="0" w:line="330" w:lineRule="atLeast"/>
        <w:jc w:val="both"/>
        <w:rPr>
          <w:rFonts w:ascii="Arial" w:eastAsia="Times New Roman" w:hAnsi="Arial" w:cs="Arial"/>
          <w:color w:val="0070C0"/>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 </w:t>
      </w:r>
    </w:p>
    <w:p w14:paraId="04C549AA" w14:textId="636B0DF9" w:rsidR="006B3987" w:rsidRPr="006B3987" w:rsidRDefault="006B3987" w:rsidP="00A57A7C">
      <w:pPr>
        <w:shd w:val="clear" w:color="auto" w:fill="FFFFFF"/>
        <w:spacing w:after="0" w:line="330" w:lineRule="atLeast"/>
        <w:jc w:val="both"/>
        <w:rPr>
          <w:rFonts w:ascii="Arial" w:eastAsia="Times New Roman" w:hAnsi="Arial" w:cs="Arial"/>
          <w:color w:val="0070C0"/>
          <w:kern w:val="0"/>
          <w:sz w:val="24"/>
          <w:szCs w:val="24"/>
          <w:lang w:eastAsia="pt-BR"/>
          <w14:ligatures w14:val="none"/>
        </w:rPr>
      </w:pPr>
      <w:r w:rsidRPr="006B3987">
        <w:rPr>
          <w:rFonts w:ascii="Arial" w:eastAsia="Times New Roman" w:hAnsi="Arial" w:cs="Arial"/>
          <w:color w:val="0070C0"/>
          <w:kern w:val="0"/>
          <w:sz w:val="24"/>
          <w:szCs w:val="24"/>
          <w:lang w:eastAsia="pt-BR"/>
          <w14:ligatures w14:val="none"/>
        </w:rPr>
        <w:t>Não mencionamos nada referente a sindicato ou convenção coletiva de trabalho no edital.</w:t>
      </w:r>
    </w:p>
    <w:p w14:paraId="7FA41702" w14:textId="77777777" w:rsidR="006B3987" w:rsidRPr="00A57A7C" w:rsidRDefault="006B3987"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p>
    <w:p w14:paraId="52109970" w14:textId="77777777" w:rsidR="00A57A7C" w:rsidRDefault="00A57A7C" w:rsidP="00A57A7C">
      <w:pPr>
        <w:shd w:val="clear" w:color="auto" w:fill="FFFFFF"/>
        <w:spacing w:after="0" w:line="330" w:lineRule="atLeast"/>
        <w:jc w:val="both"/>
        <w:rPr>
          <w:rFonts w:ascii="Arial" w:eastAsia="Times New Roman" w:hAnsi="Arial" w:cs="Arial"/>
          <w:color w:val="444444"/>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4) Haverá fornecimento de materiais, utensílios, ferramentas e equipamentos sob responsabilidade da CONTRATADA? Em caso positivo:</w:t>
      </w:r>
    </w:p>
    <w:p w14:paraId="34712743" w14:textId="77777777" w:rsidR="00F61447" w:rsidRDefault="00F61447" w:rsidP="00A57A7C">
      <w:pPr>
        <w:shd w:val="clear" w:color="auto" w:fill="FFFFFF"/>
        <w:spacing w:after="0" w:line="330" w:lineRule="atLeast"/>
        <w:jc w:val="both"/>
        <w:rPr>
          <w:rFonts w:ascii="Arial" w:eastAsia="Times New Roman" w:hAnsi="Arial" w:cs="Arial"/>
          <w:color w:val="444444"/>
          <w:kern w:val="0"/>
          <w:sz w:val="24"/>
          <w:szCs w:val="24"/>
          <w:lang w:eastAsia="pt-BR"/>
          <w14:ligatures w14:val="none"/>
        </w:rPr>
      </w:pPr>
    </w:p>
    <w:p w14:paraId="271E920D" w14:textId="1EC8D72B" w:rsidR="00F61447" w:rsidRDefault="00F61447" w:rsidP="00B82B25">
      <w:pPr>
        <w:pBdr>
          <w:top w:val="nil"/>
          <w:left w:val="nil"/>
          <w:bottom w:val="nil"/>
          <w:right w:val="nil"/>
          <w:between w:val="nil"/>
        </w:pBdr>
        <w:spacing w:after="120" w:line="240" w:lineRule="auto"/>
        <w:jc w:val="both"/>
        <w:rPr>
          <w:rFonts w:ascii="Bookman Old Style" w:hAnsi="Bookman Old Style" w:cs="Arial"/>
          <w:color w:val="0070C0"/>
          <w:sz w:val="24"/>
          <w:szCs w:val="24"/>
        </w:rPr>
      </w:pPr>
      <w:r w:rsidRPr="00F61447">
        <w:rPr>
          <w:rFonts w:ascii="Arial" w:eastAsia="Times New Roman" w:hAnsi="Arial" w:cs="Arial"/>
          <w:color w:val="0070C0"/>
          <w:kern w:val="0"/>
          <w:sz w:val="24"/>
          <w:szCs w:val="24"/>
          <w:lang w:eastAsia="pt-BR"/>
          <w14:ligatures w14:val="none"/>
        </w:rPr>
        <w:t xml:space="preserve">De acordo com o item 4.4.9 do Termo de Referência, </w:t>
      </w:r>
      <w:r w:rsidRPr="00F61447">
        <w:rPr>
          <w:rFonts w:ascii="Bookman Old Style" w:hAnsi="Bookman Old Style" w:cs="Arial"/>
          <w:color w:val="0070C0"/>
          <w:sz w:val="24"/>
          <w:szCs w:val="24"/>
        </w:rPr>
        <w:t>O vigilante deverá utilizar equipamentos de proteção individual (EPI) adequados a sua função</w:t>
      </w:r>
      <w:r w:rsidR="00B82B25">
        <w:rPr>
          <w:rFonts w:ascii="Bookman Old Style" w:hAnsi="Bookman Old Style" w:cs="Arial"/>
          <w:color w:val="0070C0"/>
          <w:sz w:val="24"/>
          <w:szCs w:val="24"/>
        </w:rPr>
        <w:t>;</w:t>
      </w:r>
    </w:p>
    <w:p w14:paraId="06759018" w14:textId="00090B24" w:rsidR="00360E18" w:rsidRDefault="00360E18" w:rsidP="00B82B25">
      <w:pPr>
        <w:pBdr>
          <w:top w:val="nil"/>
          <w:left w:val="nil"/>
          <w:bottom w:val="nil"/>
          <w:right w:val="nil"/>
          <w:between w:val="nil"/>
        </w:pBdr>
        <w:spacing w:after="120" w:line="240" w:lineRule="auto"/>
        <w:jc w:val="both"/>
        <w:rPr>
          <w:rFonts w:ascii="Bookman Old Style" w:hAnsi="Bookman Old Style" w:cs="Arial"/>
          <w:color w:val="0070C0"/>
          <w:sz w:val="24"/>
          <w:szCs w:val="24"/>
        </w:rPr>
      </w:pPr>
      <w:r>
        <w:rPr>
          <w:rFonts w:ascii="Bookman Old Style" w:hAnsi="Bookman Old Style" w:cs="Arial"/>
          <w:color w:val="0070C0"/>
          <w:sz w:val="24"/>
          <w:szCs w:val="24"/>
        </w:rPr>
        <w:t>OBS: se houver necessidade de uso de cassetete, também deverá ser fornecido.</w:t>
      </w:r>
    </w:p>
    <w:p w14:paraId="50E4D988" w14:textId="77777777" w:rsidR="00B82B25" w:rsidRDefault="00B82B25" w:rsidP="00B82B25">
      <w:pPr>
        <w:pBdr>
          <w:top w:val="nil"/>
          <w:left w:val="nil"/>
          <w:bottom w:val="nil"/>
          <w:right w:val="nil"/>
          <w:between w:val="nil"/>
        </w:pBdr>
        <w:spacing w:after="120" w:line="240" w:lineRule="auto"/>
        <w:jc w:val="both"/>
        <w:rPr>
          <w:rFonts w:ascii="Bookman Old Style" w:eastAsia="Arial" w:hAnsi="Bookman Old Style" w:cs="Arial"/>
          <w:bCs/>
          <w:sz w:val="24"/>
          <w:szCs w:val="24"/>
        </w:rPr>
      </w:pPr>
      <w:r>
        <w:rPr>
          <w:rFonts w:ascii="Bookman Old Style" w:hAnsi="Bookman Old Style" w:cs="Arial"/>
          <w:color w:val="0070C0"/>
          <w:sz w:val="24"/>
          <w:szCs w:val="24"/>
        </w:rPr>
        <w:t xml:space="preserve">Conforme o item 4.4.2 do Termo de </w:t>
      </w:r>
      <w:r w:rsidRPr="00B82B25">
        <w:rPr>
          <w:rFonts w:ascii="Bookman Old Style" w:hAnsi="Bookman Old Style" w:cs="Arial"/>
          <w:color w:val="0070C0"/>
          <w:sz w:val="24"/>
          <w:szCs w:val="24"/>
        </w:rPr>
        <w:t xml:space="preserve">Referência, </w:t>
      </w:r>
      <w:r w:rsidRPr="00B82B25">
        <w:rPr>
          <w:rFonts w:ascii="Bookman Old Style" w:hAnsi="Bookman Old Style" w:cs="Arial"/>
          <w:color w:val="0070C0"/>
          <w:sz w:val="24"/>
          <w:szCs w:val="24"/>
        </w:rPr>
        <w:t>Os vigilantes devem sempre uniformizados e identificados por meio de crachá;</w:t>
      </w:r>
    </w:p>
    <w:p w14:paraId="61DB5053" w14:textId="57FA9D74"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p>
    <w:p w14:paraId="35A57CE9"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a) Quais materiais deverão ser fornecidos pela Contratada?</w:t>
      </w:r>
    </w:p>
    <w:p w14:paraId="28B5BAAE"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 </w:t>
      </w:r>
    </w:p>
    <w:p w14:paraId="5EC77C5A"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b) Quais utensílios deverão ser fornecidos pela Contratada?</w:t>
      </w:r>
    </w:p>
    <w:p w14:paraId="25FA6C0D"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 </w:t>
      </w:r>
    </w:p>
    <w:p w14:paraId="13100305"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c) Quais ferramentas deverão ser fornecidas pela Contratada?</w:t>
      </w:r>
    </w:p>
    <w:p w14:paraId="6850978D"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 </w:t>
      </w:r>
    </w:p>
    <w:p w14:paraId="76D2FA06"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d) Quais equipamentos deverão ser fornecidos pela Contratada?</w:t>
      </w:r>
    </w:p>
    <w:p w14:paraId="16CEB769"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 </w:t>
      </w:r>
    </w:p>
    <w:p w14:paraId="135EFB1C"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lastRenderedPageBreak/>
        <w:t>5) Este serviço já está (ou estava) sendo prestado por empresa terceirizada? Em caso positivo, qual é (era) a razão social da prestadora de serviços? Ressaltamos que a resposta deste esclarecimento está relacionada tanto o caráter social de um futuro aproveitamento da mão de obra terceirizada quanto nos custos de investimentos para mobilização operacional e expertise da futura contratada na implantação do primeiro contrato terceirizado do serviço licitado.</w:t>
      </w:r>
    </w:p>
    <w:p w14:paraId="3DD40AFB" w14:textId="77777777" w:rsidR="00A57A7C" w:rsidRDefault="00A57A7C" w:rsidP="00A57A7C">
      <w:pPr>
        <w:shd w:val="clear" w:color="auto" w:fill="FFFFFF"/>
        <w:spacing w:after="0" w:line="330" w:lineRule="atLeast"/>
        <w:jc w:val="both"/>
        <w:rPr>
          <w:rFonts w:ascii="Arial" w:eastAsia="Times New Roman" w:hAnsi="Arial" w:cs="Arial"/>
          <w:color w:val="444444"/>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 </w:t>
      </w:r>
    </w:p>
    <w:p w14:paraId="5ED8CCBB" w14:textId="366A7566" w:rsidR="008814D5" w:rsidRDefault="008814D5" w:rsidP="00A57A7C">
      <w:pPr>
        <w:shd w:val="clear" w:color="auto" w:fill="FFFFFF"/>
        <w:spacing w:after="0" w:line="330" w:lineRule="atLeast"/>
        <w:jc w:val="both"/>
        <w:rPr>
          <w:rFonts w:ascii="Arial" w:eastAsia="Times New Roman" w:hAnsi="Arial" w:cs="Arial"/>
          <w:color w:val="0070C0"/>
          <w:kern w:val="0"/>
          <w:sz w:val="24"/>
          <w:szCs w:val="24"/>
          <w:lang w:eastAsia="pt-BR"/>
          <w14:ligatures w14:val="none"/>
        </w:rPr>
      </w:pPr>
      <w:r>
        <w:rPr>
          <w:rFonts w:ascii="Arial" w:eastAsia="Times New Roman" w:hAnsi="Arial" w:cs="Arial"/>
          <w:color w:val="0070C0"/>
          <w:kern w:val="0"/>
          <w:sz w:val="24"/>
          <w:szCs w:val="24"/>
          <w:lang w:eastAsia="pt-BR"/>
          <w14:ligatures w14:val="none"/>
        </w:rPr>
        <w:t>Este serviço já está sendo executado.</w:t>
      </w:r>
    </w:p>
    <w:p w14:paraId="3ABE6427" w14:textId="260FEE5F" w:rsidR="008814D5" w:rsidRDefault="008814D5" w:rsidP="00A57A7C">
      <w:pPr>
        <w:shd w:val="clear" w:color="auto" w:fill="FFFFFF"/>
        <w:spacing w:after="0" w:line="330" w:lineRule="atLeast"/>
        <w:jc w:val="both"/>
        <w:rPr>
          <w:rFonts w:ascii="Arial" w:eastAsia="Times New Roman" w:hAnsi="Arial" w:cs="Arial"/>
          <w:color w:val="0070C0"/>
          <w:kern w:val="0"/>
          <w:sz w:val="24"/>
          <w:szCs w:val="24"/>
          <w:lang w:eastAsia="pt-BR"/>
          <w14:ligatures w14:val="none"/>
        </w:rPr>
      </w:pPr>
      <w:r>
        <w:rPr>
          <w:rFonts w:ascii="Arial" w:eastAsia="Times New Roman" w:hAnsi="Arial" w:cs="Arial"/>
          <w:color w:val="0070C0"/>
          <w:kern w:val="0"/>
          <w:sz w:val="24"/>
          <w:szCs w:val="24"/>
          <w:lang w:eastAsia="pt-BR"/>
          <w14:ligatures w14:val="none"/>
        </w:rPr>
        <w:t>As informações sobre o processo licitatório vigente encontram-se no portal de transparência do município:</w:t>
      </w:r>
    </w:p>
    <w:p w14:paraId="2BAA6134" w14:textId="77777777" w:rsidR="008814D5" w:rsidRDefault="008814D5" w:rsidP="00A57A7C">
      <w:pPr>
        <w:shd w:val="clear" w:color="auto" w:fill="FFFFFF"/>
        <w:spacing w:after="0" w:line="330" w:lineRule="atLeast"/>
        <w:jc w:val="both"/>
        <w:rPr>
          <w:rFonts w:ascii="Arial" w:eastAsia="Times New Roman" w:hAnsi="Arial" w:cs="Arial"/>
          <w:color w:val="0070C0"/>
          <w:kern w:val="0"/>
          <w:sz w:val="24"/>
          <w:szCs w:val="24"/>
          <w:lang w:eastAsia="pt-BR"/>
          <w14:ligatures w14:val="none"/>
        </w:rPr>
      </w:pPr>
    </w:p>
    <w:p w14:paraId="70B77362" w14:textId="20C6C539" w:rsidR="008814D5" w:rsidRDefault="008814D5" w:rsidP="00A57A7C">
      <w:pPr>
        <w:shd w:val="clear" w:color="auto" w:fill="FFFFFF"/>
        <w:spacing w:after="0" w:line="330" w:lineRule="atLeast"/>
        <w:jc w:val="both"/>
        <w:rPr>
          <w:rFonts w:ascii="Arial" w:eastAsia="Times New Roman" w:hAnsi="Arial" w:cs="Arial"/>
          <w:color w:val="0070C0"/>
          <w:kern w:val="0"/>
          <w:sz w:val="24"/>
          <w:szCs w:val="24"/>
          <w:lang w:eastAsia="pt-BR"/>
          <w14:ligatures w14:val="none"/>
        </w:rPr>
      </w:pPr>
      <w:hyperlink r:id="rId5" w:history="1">
        <w:r w:rsidRPr="00BF7103">
          <w:rPr>
            <w:rStyle w:val="Hyperlink"/>
            <w:rFonts w:ascii="Arial" w:eastAsia="Times New Roman" w:hAnsi="Arial" w:cs="Arial"/>
            <w:kern w:val="0"/>
            <w:sz w:val="24"/>
            <w:szCs w:val="24"/>
            <w:lang w:eastAsia="pt-BR"/>
            <w14:ligatures w14:val="none"/>
          </w:rPr>
          <w:t>https://pmcordi.sc.gov.br/licitacao/processo-licitatorio-57-2023-pregao-eletronico-srp-22-2023/</w:t>
        </w:r>
      </w:hyperlink>
    </w:p>
    <w:p w14:paraId="4786CEDB" w14:textId="77777777" w:rsidR="008814D5" w:rsidRPr="00A57A7C" w:rsidRDefault="008814D5"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p>
    <w:p w14:paraId="0AB626AA"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6) Deverá ser provisionado adicional de insalubridade? Em caso positivo, quais funções e quantidades de postos que deverão receber?</w:t>
      </w:r>
    </w:p>
    <w:p w14:paraId="08F5F551" w14:textId="77777777" w:rsidR="00A57A7C" w:rsidRPr="00D63334" w:rsidRDefault="00A57A7C" w:rsidP="00A57A7C">
      <w:pPr>
        <w:shd w:val="clear" w:color="auto" w:fill="FFFFFF"/>
        <w:spacing w:after="0" w:line="330" w:lineRule="atLeast"/>
        <w:jc w:val="both"/>
        <w:rPr>
          <w:rFonts w:ascii="Arial" w:eastAsia="Times New Roman" w:hAnsi="Arial" w:cs="Arial"/>
          <w:color w:val="0070C0"/>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 </w:t>
      </w:r>
    </w:p>
    <w:p w14:paraId="35128E70" w14:textId="5F7B0D26" w:rsidR="00D63334" w:rsidRPr="00D63334" w:rsidRDefault="00D63334" w:rsidP="00A57A7C">
      <w:pPr>
        <w:shd w:val="clear" w:color="auto" w:fill="FFFFFF"/>
        <w:spacing w:after="0" w:line="330" w:lineRule="atLeast"/>
        <w:jc w:val="both"/>
        <w:rPr>
          <w:rFonts w:ascii="Arial" w:eastAsia="Times New Roman" w:hAnsi="Arial" w:cs="Arial"/>
          <w:color w:val="0070C0"/>
          <w:kern w:val="0"/>
          <w:sz w:val="24"/>
          <w:szCs w:val="24"/>
          <w:lang w:eastAsia="pt-BR"/>
          <w14:ligatures w14:val="none"/>
        </w:rPr>
      </w:pPr>
      <w:r w:rsidRPr="00D63334">
        <w:rPr>
          <w:rFonts w:ascii="Arial" w:eastAsia="Times New Roman" w:hAnsi="Arial" w:cs="Arial"/>
          <w:color w:val="0070C0"/>
          <w:kern w:val="0"/>
          <w:sz w:val="24"/>
          <w:szCs w:val="24"/>
          <w:lang w:eastAsia="pt-BR"/>
          <w14:ligatures w14:val="none"/>
        </w:rPr>
        <w:t>Não dispomos desta informação, pois este cargo não consta no quadro de cargos do município, portanto, não passa pela avaliação do nosso técnico em segurança do trabalho.</w:t>
      </w:r>
      <w:r w:rsidR="00617811">
        <w:rPr>
          <w:rFonts w:ascii="Arial" w:eastAsia="Times New Roman" w:hAnsi="Arial" w:cs="Arial"/>
          <w:color w:val="0070C0"/>
          <w:kern w:val="0"/>
          <w:sz w:val="24"/>
          <w:szCs w:val="24"/>
          <w:lang w:eastAsia="pt-BR"/>
          <w14:ligatures w14:val="none"/>
        </w:rPr>
        <w:t xml:space="preserve"> A verificação de necessidade fica a cargo da Contratada.</w:t>
      </w:r>
    </w:p>
    <w:p w14:paraId="285BC71E" w14:textId="77777777" w:rsidR="00D63334" w:rsidRPr="00A57A7C" w:rsidRDefault="00D63334"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p>
    <w:p w14:paraId="5ED0E8AF" w14:textId="77777777" w:rsidR="00A57A7C" w:rsidRDefault="00A57A7C" w:rsidP="00A57A7C">
      <w:pPr>
        <w:shd w:val="clear" w:color="auto" w:fill="FFFFFF"/>
        <w:spacing w:after="0" w:line="330" w:lineRule="atLeast"/>
        <w:jc w:val="both"/>
        <w:rPr>
          <w:rFonts w:ascii="Arial" w:eastAsia="Times New Roman" w:hAnsi="Arial" w:cs="Arial"/>
          <w:color w:val="444444"/>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7) Deverá ser provisionado adicional de periculosidade? Em caso positivo, quais funções e quantidades de postos que deverão receber?</w:t>
      </w:r>
    </w:p>
    <w:p w14:paraId="77B26A4F" w14:textId="77777777" w:rsidR="00617811" w:rsidRDefault="00617811" w:rsidP="00A57A7C">
      <w:pPr>
        <w:shd w:val="clear" w:color="auto" w:fill="FFFFFF"/>
        <w:spacing w:after="0" w:line="330" w:lineRule="atLeast"/>
        <w:jc w:val="both"/>
        <w:rPr>
          <w:rFonts w:ascii="Arial" w:eastAsia="Times New Roman" w:hAnsi="Arial" w:cs="Arial"/>
          <w:color w:val="444444"/>
          <w:kern w:val="0"/>
          <w:sz w:val="24"/>
          <w:szCs w:val="24"/>
          <w:lang w:eastAsia="pt-BR"/>
          <w14:ligatures w14:val="none"/>
        </w:rPr>
      </w:pPr>
    </w:p>
    <w:p w14:paraId="6DE5B55A" w14:textId="6DBCD282" w:rsidR="00617811" w:rsidRPr="00617811" w:rsidRDefault="00617811" w:rsidP="00A57A7C">
      <w:pPr>
        <w:shd w:val="clear" w:color="auto" w:fill="FFFFFF"/>
        <w:spacing w:after="0" w:line="330" w:lineRule="atLeast"/>
        <w:jc w:val="both"/>
        <w:rPr>
          <w:rFonts w:ascii="Arial" w:eastAsia="Times New Roman" w:hAnsi="Arial" w:cs="Arial"/>
          <w:color w:val="0070C0"/>
          <w:kern w:val="0"/>
          <w:sz w:val="24"/>
          <w:szCs w:val="24"/>
          <w:lang w:eastAsia="pt-BR"/>
          <w14:ligatures w14:val="none"/>
        </w:rPr>
      </w:pPr>
      <w:r w:rsidRPr="00D63334">
        <w:rPr>
          <w:rFonts w:ascii="Arial" w:eastAsia="Times New Roman" w:hAnsi="Arial" w:cs="Arial"/>
          <w:color w:val="0070C0"/>
          <w:kern w:val="0"/>
          <w:sz w:val="24"/>
          <w:szCs w:val="24"/>
          <w:lang w:eastAsia="pt-BR"/>
          <w14:ligatures w14:val="none"/>
        </w:rPr>
        <w:t>Não dispomos desta informação, pois este cargo não consta no quadro de cargos do município, portanto, não passa pela avaliação do nosso técnico em segurança do trabalho.</w:t>
      </w:r>
      <w:r>
        <w:rPr>
          <w:rFonts w:ascii="Arial" w:eastAsia="Times New Roman" w:hAnsi="Arial" w:cs="Arial"/>
          <w:color w:val="0070C0"/>
          <w:kern w:val="0"/>
          <w:sz w:val="24"/>
          <w:szCs w:val="24"/>
          <w:lang w:eastAsia="pt-BR"/>
          <w14:ligatures w14:val="none"/>
        </w:rPr>
        <w:t xml:space="preserve"> </w:t>
      </w:r>
      <w:r>
        <w:rPr>
          <w:rFonts w:ascii="Arial" w:eastAsia="Times New Roman" w:hAnsi="Arial" w:cs="Arial"/>
          <w:color w:val="0070C0"/>
          <w:kern w:val="0"/>
          <w:sz w:val="24"/>
          <w:szCs w:val="24"/>
          <w:lang w:eastAsia="pt-BR"/>
          <w14:ligatures w14:val="none"/>
        </w:rPr>
        <w:t>A verificação de necessidade fica a cargo da Contratada.</w:t>
      </w:r>
    </w:p>
    <w:p w14:paraId="0F7B6DA0"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 </w:t>
      </w:r>
    </w:p>
    <w:p w14:paraId="0D2943C2" w14:textId="77777777" w:rsidR="00A57A7C" w:rsidRDefault="00A57A7C" w:rsidP="00A57A7C">
      <w:pPr>
        <w:shd w:val="clear" w:color="auto" w:fill="FFFFFF"/>
        <w:spacing w:after="0" w:line="330" w:lineRule="atLeast"/>
        <w:jc w:val="both"/>
        <w:rPr>
          <w:rFonts w:ascii="Arial" w:eastAsia="Times New Roman" w:hAnsi="Arial" w:cs="Arial"/>
          <w:color w:val="444444"/>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8) A etapa de lances será realizada pela oferta de lances pelo valor global (valor total para os meses da vigência inicial)? Em caso negativo, qual deverá ser o lance ofertado?</w:t>
      </w:r>
    </w:p>
    <w:p w14:paraId="2FD29572" w14:textId="77777777" w:rsidR="00D859BD" w:rsidRDefault="00D859BD" w:rsidP="00A57A7C">
      <w:pPr>
        <w:shd w:val="clear" w:color="auto" w:fill="FFFFFF"/>
        <w:spacing w:after="0" w:line="330" w:lineRule="atLeast"/>
        <w:jc w:val="both"/>
        <w:rPr>
          <w:rFonts w:ascii="Arial" w:eastAsia="Times New Roman" w:hAnsi="Arial" w:cs="Arial"/>
          <w:color w:val="444444"/>
          <w:kern w:val="0"/>
          <w:sz w:val="24"/>
          <w:szCs w:val="24"/>
          <w:lang w:eastAsia="pt-BR"/>
          <w14:ligatures w14:val="none"/>
        </w:rPr>
      </w:pPr>
    </w:p>
    <w:p w14:paraId="15556476" w14:textId="63CCD35D" w:rsidR="00D859BD" w:rsidRPr="00D859BD" w:rsidRDefault="00D859BD" w:rsidP="00A57A7C">
      <w:pPr>
        <w:shd w:val="clear" w:color="auto" w:fill="FFFFFF"/>
        <w:spacing w:after="0" w:line="330" w:lineRule="atLeast"/>
        <w:jc w:val="both"/>
        <w:rPr>
          <w:rFonts w:ascii="Arial" w:eastAsia="Times New Roman" w:hAnsi="Arial" w:cs="Arial"/>
          <w:color w:val="0070C0"/>
          <w:kern w:val="0"/>
          <w:sz w:val="24"/>
          <w:szCs w:val="24"/>
          <w:lang w:eastAsia="pt-BR"/>
          <w14:ligatures w14:val="none"/>
        </w:rPr>
      </w:pPr>
      <w:r>
        <w:rPr>
          <w:rFonts w:ascii="Arial" w:eastAsia="Times New Roman" w:hAnsi="Arial" w:cs="Arial"/>
          <w:color w:val="0070C0"/>
          <w:kern w:val="0"/>
          <w:sz w:val="24"/>
          <w:szCs w:val="24"/>
          <w:lang w:eastAsia="pt-BR"/>
          <w14:ligatures w14:val="none"/>
        </w:rPr>
        <w:t>O valor global trata de todo o período contratual, 12 (doze) meses. Portanto, os lances referem-se à quantidade estimada de horas a serem utilizadas nos 12 meses da futura vigência do contrato.</w:t>
      </w:r>
    </w:p>
    <w:p w14:paraId="03191889"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 </w:t>
      </w:r>
    </w:p>
    <w:p w14:paraId="74CEF5F1" w14:textId="77777777" w:rsidR="00A57A7C" w:rsidRDefault="00A57A7C" w:rsidP="00A57A7C">
      <w:pPr>
        <w:shd w:val="clear" w:color="auto" w:fill="FFFFFF"/>
        <w:spacing w:after="0" w:line="330" w:lineRule="atLeast"/>
        <w:jc w:val="both"/>
        <w:rPr>
          <w:rFonts w:ascii="Arial" w:eastAsia="Times New Roman" w:hAnsi="Arial" w:cs="Arial"/>
          <w:color w:val="444444"/>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9) Caso a prestação de serviços ocorra em locais que haja recesso/férias (exemplo: recesso escolar ou recesso forense), questionamos se os serviços serão faturados e pagos à CONTRATADA mensalmente sem interrupção ou serão faturados apenas durante os meses efetivamente prestados desconsiderando o período do recesso?</w:t>
      </w:r>
    </w:p>
    <w:p w14:paraId="7BF92B7B" w14:textId="77777777" w:rsidR="002E2A08" w:rsidRPr="002E2A08" w:rsidRDefault="002E2A08" w:rsidP="00A57A7C">
      <w:pPr>
        <w:shd w:val="clear" w:color="auto" w:fill="FFFFFF"/>
        <w:spacing w:after="0" w:line="330" w:lineRule="atLeast"/>
        <w:jc w:val="both"/>
        <w:rPr>
          <w:rFonts w:ascii="Arial" w:eastAsia="Times New Roman" w:hAnsi="Arial" w:cs="Arial"/>
          <w:color w:val="0070C0"/>
          <w:kern w:val="0"/>
          <w:sz w:val="24"/>
          <w:szCs w:val="24"/>
          <w:lang w:eastAsia="pt-BR"/>
          <w14:ligatures w14:val="none"/>
        </w:rPr>
      </w:pPr>
    </w:p>
    <w:p w14:paraId="7F837851" w14:textId="537B34B9" w:rsidR="002E2A08" w:rsidRPr="002E2A08" w:rsidRDefault="002E2A08" w:rsidP="00A57A7C">
      <w:pPr>
        <w:shd w:val="clear" w:color="auto" w:fill="FFFFFF"/>
        <w:spacing w:after="0" w:line="330" w:lineRule="atLeast"/>
        <w:jc w:val="both"/>
        <w:rPr>
          <w:rFonts w:ascii="Arial" w:eastAsia="Times New Roman" w:hAnsi="Arial" w:cs="Arial"/>
          <w:color w:val="0070C0"/>
          <w:kern w:val="0"/>
          <w:sz w:val="24"/>
          <w:szCs w:val="24"/>
          <w:lang w:eastAsia="pt-BR"/>
          <w14:ligatures w14:val="none"/>
        </w:rPr>
      </w:pPr>
      <w:r w:rsidRPr="002E2A08">
        <w:rPr>
          <w:rFonts w:ascii="Arial" w:eastAsia="Times New Roman" w:hAnsi="Arial" w:cs="Arial"/>
          <w:color w:val="0070C0"/>
          <w:kern w:val="0"/>
          <w:sz w:val="24"/>
          <w:szCs w:val="24"/>
          <w:lang w:eastAsia="pt-BR"/>
          <w14:ligatures w14:val="none"/>
        </w:rPr>
        <w:lastRenderedPageBreak/>
        <w:t xml:space="preserve">Os recessos e férias escolares não serão pagos. A contratação será feita apenas nos períodos de necessidade de prestação de serviço, observando que poderá haver períodos diferentes entre uma instituição de ensino e outra, devido as </w:t>
      </w:r>
      <w:r>
        <w:rPr>
          <w:rFonts w:ascii="Arial" w:eastAsia="Times New Roman" w:hAnsi="Arial" w:cs="Arial"/>
          <w:color w:val="0070C0"/>
          <w:kern w:val="0"/>
          <w:sz w:val="24"/>
          <w:szCs w:val="24"/>
          <w:lang w:eastAsia="pt-BR"/>
          <w14:ligatures w14:val="none"/>
        </w:rPr>
        <w:t>s</w:t>
      </w:r>
      <w:r w:rsidRPr="002E2A08">
        <w:rPr>
          <w:rFonts w:ascii="Arial" w:eastAsia="Times New Roman" w:hAnsi="Arial" w:cs="Arial"/>
          <w:color w:val="0070C0"/>
          <w:kern w:val="0"/>
          <w:sz w:val="24"/>
          <w:szCs w:val="24"/>
          <w:lang w:eastAsia="pt-BR"/>
          <w14:ligatures w14:val="none"/>
        </w:rPr>
        <w:t>uas particularidades, bem como o horário de prestação de serviço poderá ter alguma variação</w:t>
      </w:r>
      <w:r>
        <w:rPr>
          <w:rFonts w:ascii="Arial" w:eastAsia="Times New Roman" w:hAnsi="Arial" w:cs="Arial"/>
          <w:color w:val="0070C0"/>
          <w:kern w:val="0"/>
          <w:sz w:val="24"/>
          <w:szCs w:val="24"/>
          <w:lang w:eastAsia="pt-BR"/>
          <w14:ligatures w14:val="none"/>
        </w:rPr>
        <w:t xml:space="preserve"> de uma instituição para outra</w:t>
      </w:r>
      <w:r w:rsidRPr="002E2A08">
        <w:rPr>
          <w:rFonts w:ascii="Arial" w:eastAsia="Times New Roman" w:hAnsi="Arial" w:cs="Arial"/>
          <w:color w:val="0070C0"/>
          <w:kern w:val="0"/>
          <w:sz w:val="24"/>
          <w:szCs w:val="24"/>
          <w:lang w:eastAsia="pt-BR"/>
          <w14:ligatures w14:val="none"/>
        </w:rPr>
        <w:t xml:space="preserve"> em função disso, pois há </w:t>
      </w:r>
      <w:r>
        <w:rPr>
          <w:rFonts w:ascii="Arial" w:eastAsia="Times New Roman" w:hAnsi="Arial" w:cs="Arial"/>
          <w:color w:val="0070C0"/>
          <w:kern w:val="0"/>
          <w:sz w:val="24"/>
          <w:szCs w:val="24"/>
          <w:lang w:eastAsia="pt-BR"/>
          <w14:ligatures w14:val="none"/>
        </w:rPr>
        <w:t>C</w:t>
      </w:r>
      <w:r w:rsidRPr="002E2A08">
        <w:rPr>
          <w:rFonts w:ascii="Arial" w:eastAsia="Times New Roman" w:hAnsi="Arial" w:cs="Arial"/>
          <w:color w:val="0070C0"/>
          <w:kern w:val="0"/>
          <w:sz w:val="24"/>
          <w:szCs w:val="24"/>
          <w:lang w:eastAsia="pt-BR"/>
          <w14:ligatures w14:val="none"/>
        </w:rPr>
        <w:t xml:space="preserve">reche, Educação Infantil, Ensino Fundamental, Contraturno, Escola </w:t>
      </w:r>
      <w:proofErr w:type="spellStart"/>
      <w:r w:rsidRPr="002E2A08">
        <w:rPr>
          <w:rFonts w:ascii="Arial" w:eastAsia="Times New Roman" w:hAnsi="Arial" w:cs="Arial"/>
          <w:color w:val="0070C0"/>
          <w:kern w:val="0"/>
          <w:sz w:val="24"/>
          <w:szCs w:val="24"/>
          <w:lang w:eastAsia="pt-BR"/>
          <w14:ligatures w14:val="none"/>
        </w:rPr>
        <w:t>Maker</w:t>
      </w:r>
      <w:proofErr w:type="spellEnd"/>
      <w:r w:rsidRPr="002E2A08">
        <w:rPr>
          <w:rFonts w:ascii="Arial" w:eastAsia="Times New Roman" w:hAnsi="Arial" w:cs="Arial"/>
          <w:color w:val="0070C0"/>
          <w:kern w:val="0"/>
          <w:sz w:val="24"/>
          <w:szCs w:val="24"/>
          <w:lang w:eastAsia="pt-BR"/>
          <w14:ligatures w14:val="none"/>
        </w:rPr>
        <w:t>, Colônia de Férias e poderão ocorrer eventos tais como, festa junina, família na escola, noite do pijama, entre outros.</w:t>
      </w:r>
    </w:p>
    <w:p w14:paraId="42BE04E8"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 </w:t>
      </w:r>
    </w:p>
    <w:p w14:paraId="0ECF077C"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10) Com base na resposta da pergunta anterior (9), como devemos proceder a execução do serviço?</w:t>
      </w:r>
    </w:p>
    <w:p w14:paraId="375ED34C" w14:textId="77777777" w:rsidR="00A57A7C" w:rsidRDefault="00A57A7C" w:rsidP="00A57A7C">
      <w:pPr>
        <w:shd w:val="clear" w:color="auto" w:fill="FFFFFF"/>
        <w:spacing w:after="0" w:line="330" w:lineRule="atLeast"/>
        <w:jc w:val="both"/>
        <w:rPr>
          <w:rFonts w:ascii="Arial" w:eastAsia="Times New Roman" w:hAnsi="Arial" w:cs="Arial"/>
          <w:color w:val="444444"/>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 </w:t>
      </w:r>
    </w:p>
    <w:p w14:paraId="31E562A0" w14:textId="58E02512" w:rsidR="00420A9E" w:rsidRPr="00420A9E" w:rsidRDefault="00420A9E" w:rsidP="00A57A7C">
      <w:pPr>
        <w:shd w:val="clear" w:color="auto" w:fill="FFFFFF"/>
        <w:spacing w:after="0" w:line="330" w:lineRule="atLeast"/>
        <w:jc w:val="both"/>
        <w:rPr>
          <w:rFonts w:ascii="Arial" w:eastAsia="Times New Roman" w:hAnsi="Arial" w:cs="Arial"/>
          <w:color w:val="0070C0"/>
          <w:kern w:val="0"/>
          <w:sz w:val="24"/>
          <w:szCs w:val="24"/>
          <w:lang w:eastAsia="pt-BR"/>
          <w14:ligatures w14:val="none"/>
        </w:rPr>
      </w:pPr>
      <w:r>
        <w:rPr>
          <w:rFonts w:ascii="Arial" w:eastAsia="Times New Roman" w:hAnsi="Arial" w:cs="Arial"/>
          <w:color w:val="0070C0"/>
          <w:kern w:val="0"/>
          <w:sz w:val="24"/>
          <w:szCs w:val="24"/>
          <w:lang w:eastAsia="pt-BR"/>
          <w14:ligatures w14:val="none"/>
        </w:rPr>
        <w:t>A solicitação de fornecimento irá especificar qual a necessidade de cada local.</w:t>
      </w:r>
    </w:p>
    <w:p w14:paraId="1181039D" w14:textId="77777777" w:rsidR="00420A9E" w:rsidRPr="00A57A7C" w:rsidRDefault="00420A9E"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p>
    <w:p w14:paraId="4BDCEDBD"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11) Caso o edital forneça salário de referência para as funções, será obrigatória a utilização dos salários referenciais ou devem as licitantes respeitar a Convenção Coletiva de Trabalho preponderante a qual a empresa esteja vinculada?</w:t>
      </w:r>
    </w:p>
    <w:p w14:paraId="75995169" w14:textId="77777777" w:rsidR="00A57A7C" w:rsidRDefault="00A57A7C" w:rsidP="00A57A7C">
      <w:pPr>
        <w:shd w:val="clear" w:color="auto" w:fill="FFFFFF"/>
        <w:spacing w:after="0" w:line="330" w:lineRule="atLeast"/>
        <w:jc w:val="both"/>
        <w:rPr>
          <w:rFonts w:ascii="Arial" w:eastAsia="Times New Roman" w:hAnsi="Arial" w:cs="Arial"/>
          <w:color w:val="444444"/>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 </w:t>
      </w:r>
    </w:p>
    <w:p w14:paraId="1C6A08D4" w14:textId="19418D62" w:rsidR="00420A9E" w:rsidRPr="00420A9E" w:rsidRDefault="00420A9E" w:rsidP="00A57A7C">
      <w:pPr>
        <w:shd w:val="clear" w:color="auto" w:fill="FFFFFF"/>
        <w:spacing w:after="0" w:line="330" w:lineRule="atLeast"/>
        <w:jc w:val="both"/>
        <w:rPr>
          <w:rFonts w:ascii="Arial" w:eastAsia="Times New Roman" w:hAnsi="Arial" w:cs="Arial"/>
          <w:color w:val="0070C0"/>
          <w:kern w:val="0"/>
          <w:sz w:val="24"/>
          <w:szCs w:val="24"/>
          <w:lang w:eastAsia="pt-BR"/>
          <w14:ligatures w14:val="none"/>
        </w:rPr>
      </w:pPr>
      <w:r w:rsidRPr="00420A9E">
        <w:rPr>
          <w:rFonts w:ascii="Arial" w:eastAsia="Times New Roman" w:hAnsi="Arial" w:cs="Arial"/>
          <w:color w:val="0070C0"/>
          <w:kern w:val="0"/>
          <w:sz w:val="24"/>
          <w:szCs w:val="24"/>
          <w:lang w:eastAsia="pt-BR"/>
          <w14:ligatures w14:val="none"/>
        </w:rPr>
        <w:t>Não será solicitado salário de referência para as funções.</w:t>
      </w:r>
    </w:p>
    <w:p w14:paraId="23A70ECB" w14:textId="77777777" w:rsidR="00420A9E" w:rsidRPr="00A57A7C" w:rsidRDefault="00420A9E"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p>
    <w:p w14:paraId="15D51C9D" w14:textId="77777777" w:rsidR="00A57A7C" w:rsidRPr="00420A9E"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 xml:space="preserve">12) Conforme indicação de Convenção Coletiva de Trabalho e data-base na elaboração proposta inicial, está correto nosso entendimento de que será garantido e concedido à futura Contratada a repactuação dos valores vinculados à Convenção Coletiva de Trabalho concomitantemente a promulgação de nova </w:t>
      </w:r>
      <w:r w:rsidRPr="00420A9E">
        <w:rPr>
          <w:rFonts w:ascii="Arial" w:eastAsia="Times New Roman" w:hAnsi="Arial" w:cs="Arial"/>
          <w:color w:val="444444"/>
          <w:kern w:val="0"/>
          <w:sz w:val="24"/>
          <w:szCs w:val="24"/>
          <w:lang w:eastAsia="pt-BR"/>
          <w14:ligatures w14:val="none"/>
        </w:rPr>
        <w:t>data-base?</w:t>
      </w:r>
    </w:p>
    <w:p w14:paraId="2BB76311" w14:textId="77777777" w:rsidR="00A57A7C" w:rsidRPr="00420A9E" w:rsidRDefault="00A57A7C" w:rsidP="00A57A7C">
      <w:pPr>
        <w:shd w:val="clear" w:color="auto" w:fill="FFFFFF"/>
        <w:spacing w:after="0" w:line="330" w:lineRule="atLeast"/>
        <w:jc w:val="both"/>
        <w:rPr>
          <w:rFonts w:ascii="Arial" w:eastAsia="Times New Roman" w:hAnsi="Arial" w:cs="Arial"/>
          <w:color w:val="0070C0"/>
          <w:kern w:val="0"/>
          <w:sz w:val="24"/>
          <w:szCs w:val="24"/>
          <w:lang w:eastAsia="pt-BR"/>
          <w14:ligatures w14:val="none"/>
        </w:rPr>
      </w:pPr>
      <w:r w:rsidRPr="00420A9E">
        <w:rPr>
          <w:rFonts w:ascii="Arial" w:eastAsia="Times New Roman" w:hAnsi="Arial" w:cs="Arial"/>
          <w:color w:val="444444"/>
          <w:kern w:val="0"/>
          <w:sz w:val="24"/>
          <w:szCs w:val="24"/>
          <w:lang w:eastAsia="pt-BR"/>
          <w14:ligatures w14:val="none"/>
        </w:rPr>
        <w:t> </w:t>
      </w:r>
    </w:p>
    <w:p w14:paraId="58DCE8CE" w14:textId="307F09F7" w:rsidR="00420A9E" w:rsidRPr="00420A9E" w:rsidRDefault="00420A9E" w:rsidP="00420A9E">
      <w:pPr>
        <w:rPr>
          <w:rFonts w:ascii="Arial" w:hAnsi="Arial" w:cs="Arial"/>
          <w:color w:val="0070C0"/>
          <w:sz w:val="24"/>
          <w:szCs w:val="24"/>
        </w:rPr>
      </w:pPr>
      <w:r w:rsidRPr="00420A9E">
        <w:rPr>
          <w:rFonts w:ascii="Arial" w:hAnsi="Arial" w:cs="Arial"/>
          <w:color w:val="0070C0"/>
          <w:sz w:val="24"/>
          <w:szCs w:val="24"/>
        </w:rPr>
        <w:t xml:space="preserve">O município adota </w:t>
      </w:r>
      <w:r>
        <w:rPr>
          <w:rFonts w:ascii="Arial" w:hAnsi="Arial" w:cs="Arial"/>
          <w:color w:val="0070C0"/>
          <w:sz w:val="24"/>
          <w:szCs w:val="24"/>
        </w:rPr>
        <w:t>a prática de reajuste anual padrão</w:t>
      </w:r>
      <w:r w:rsidRPr="00420A9E">
        <w:rPr>
          <w:rFonts w:ascii="Arial" w:hAnsi="Arial" w:cs="Arial"/>
          <w:color w:val="0070C0"/>
          <w:sz w:val="24"/>
          <w:szCs w:val="24"/>
        </w:rPr>
        <w:t xml:space="preserve"> para todas as contratações, conforme estabelecido em lei</w:t>
      </w:r>
      <w:r>
        <w:rPr>
          <w:rFonts w:ascii="Arial" w:hAnsi="Arial" w:cs="Arial"/>
          <w:color w:val="0070C0"/>
          <w:sz w:val="24"/>
          <w:szCs w:val="24"/>
        </w:rPr>
        <w:t xml:space="preserve"> e especificado abaixo, no termo de referência.</w:t>
      </w:r>
      <w:r w:rsidRPr="00420A9E">
        <w:rPr>
          <w:rFonts w:ascii="Arial" w:hAnsi="Arial" w:cs="Arial"/>
          <w:color w:val="0070C0"/>
          <w:sz w:val="24"/>
          <w:szCs w:val="24"/>
        </w:rPr>
        <w:t xml:space="preserve">. </w:t>
      </w:r>
    </w:p>
    <w:p w14:paraId="2DDC053F" w14:textId="0B0FDD71" w:rsidR="00420A9E" w:rsidRPr="00420A9E" w:rsidRDefault="00420A9E" w:rsidP="00420A9E">
      <w:pPr>
        <w:rPr>
          <w:rFonts w:ascii="Arial" w:hAnsi="Arial" w:cs="Arial"/>
          <w:color w:val="0070C0"/>
          <w:sz w:val="24"/>
          <w:szCs w:val="24"/>
        </w:rPr>
      </w:pPr>
      <w:r w:rsidRPr="00420A9E">
        <w:rPr>
          <w:rFonts w:ascii="Arial" w:hAnsi="Arial" w:cs="Arial"/>
          <w:color w:val="0070C0"/>
          <w:sz w:val="24"/>
          <w:szCs w:val="24"/>
        </w:rPr>
        <w:t xml:space="preserve">Os interessados já devem prever possíveis alterações das mais diversas naturezas ao longo do processo, principalmente as já previstas, como por exemplo, convenções coletivas ou </w:t>
      </w:r>
      <w:r w:rsidRPr="00420A9E">
        <w:rPr>
          <w:rFonts w:ascii="Arial" w:hAnsi="Arial" w:cs="Arial"/>
          <w:color w:val="0070C0"/>
          <w:sz w:val="24"/>
          <w:szCs w:val="24"/>
        </w:rPr>
        <w:t>dissídios</w:t>
      </w:r>
      <w:r w:rsidRPr="00420A9E">
        <w:rPr>
          <w:rFonts w:ascii="Arial" w:hAnsi="Arial" w:cs="Arial"/>
          <w:color w:val="0070C0"/>
          <w:sz w:val="24"/>
          <w:szCs w:val="24"/>
        </w:rPr>
        <w:t xml:space="preserve"> coletivos, entre outros.</w:t>
      </w:r>
    </w:p>
    <w:p w14:paraId="6CC216A1" w14:textId="77777777" w:rsidR="00420A9E" w:rsidRDefault="00420A9E" w:rsidP="00420A9E">
      <w:pPr>
        <w:rPr>
          <w:rFonts w:ascii="Arial" w:hAnsi="Arial" w:cs="Arial"/>
          <w:color w:val="0070C0"/>
          <w:sz w:val="24"/>
          <w:szCs w:val="24"/>
        </w:rPr>
      </w:pPr>
      <w:r w:rsidRPr="00420A9E">
        <w:rPr>
          <w:rFonts w:ascii="Arial" w:hAnsi="Arial" w:cs="Arial"/>
          <w:color w:val="0070C0"/>
          <w:sz w:val="24"/>
          <w:szCs w:val="24"/>
        </w:rPr>
        <w:t>Havendo alterações muito diferentes do índice fixado, usado como reajuste contratual ou até mesmo, antes do prazo fixado para reajuste, alterações que comprometem a prestação do serviço, poderá haver solicitação de reequilíbrio de preço, devidamente justificado e comprovado.</w:t>
      </w:r>
    </w:p>
    <w:p w14:paraId="7318F139" w14:textId="77777777" w:rsidR="00420A9E" w:rsidRPr="00420A9E" w:rsidRDefault="00420A9E" w:rsidP="00420A9E">
      <w:pPr>
        <w:pStyle w:val="PargrafodaLista"/>
        <w:numPr>
          <w:ilvl w:val="1"/>
          <w:numId w:val="2"/>
        </w:numPr>
        <w:spacing w:after="120" w:line="240" w:lineRule="auto"/>
        <w:contextualSpacing w:val="0"/>
        <w:rPr>
          <w:rFonts w:ascii="Bookman Old Style" w:hAnsi="Bookman Old Style"/>
          <w:color w:val="538135" w:themeColor="accent6" w:themeShade="BF"/>
          <w:sz w:val="24"/>
          <w:szCs w:val="24"/>
          <w:lang w:eastAsia="pt-BR"/>
        </w:rPr>
      </w:pPr>
      <w:r w:rsidRPr="00420A9E">
        <w:rPr>
          <w:rFonts w:ascii="Bookman Old Style" w:hAnsi="Bookman Old Style"/>
          <w:color w:val="538135" w:themeColor="accent6" w:themeShade="BF"/>
          <w:sz w:val="24"/>
          <w:szCs w:val="24"/>
        </w:rPr>
        <w:t>- Prazo de Contratação e índice de reajustamento:</w:t>
      </w:r>
    </w:p>
    <w:p w14:paraId="1EEB0E05" w14:textId="77777777" w:rsidR="00420A9E" w:rsidRPr="00420A9E" w:rsidRDefault="00420A9E" w:rsidP="00420A9E">
      <w:pPr>
        <w:pStyle w:val="PargrafodaLista"/>
        <w:numPr>
          <w:ilvl w:val="2"/>
          <w:numId w:val="2"/>
        </w:numPr>
        <w:spacing w:after="120" w:line="240" w:lineRule="auto"/>
        <w:contextualSpacing w:val="0"/>
        <w:jc w:val="both"/>
        <w:rPr>
          <w:rFonts w:ascii="Bookman Old Style" w:hAnsi="Bookman Old Style"/>
          <w:color w:val="538135" w:themeColor="accent6" w:themeShade="BF"/>
          <w:sz w:val="24"/>
          <w:szCs w:val="24"/>
        </w:rPr>
      </w:pPr>
      <w:r w:rsidRPr="00420A9E">
        <w:rPr>
          <w:rFonts w:ascii="Bookman Old Style" w:hAnsi="Bookman Old Style"/>
          <w:color w:val="538135" w:themeColor="accent6" w:themeShade="BF"/>
          <w:sz w:val="24"/>
          <w:szCs w:val="24"/>
        </w:rPr>
        <w:t xml:space="preserve">- Prazo de vigência da contratação é de 12 (doze) meses contado(s) da data homologação, na forma do artigo 105 da Lei </w:t>
      </w:r>
      <w:proofErr w:type="spellStart"/>
      <w:r w:rsidRPr="00420A9E">
        <w:rPr>
          <w:rFonts w:ascii="Bookman Old Style" w:hAnsi="Bookman Old Style"/>
          <w:color w:val="538135" w:themeColor="accent6" w:themeShade="BF"/>
          <w:sz w:val="24"/>
          <w:szCs w:val="24"/>
        </w:rPr>
        <w:t>n.°</w:t>
      </w:r>
      <w:proofErr w:type="spellEnd"/>
      <w:r w:rsidRPr="00420A9E">
        <w:rPr>
          <w:rFonts w:ascii="Bookman Old Style" w:hAnsi="Bookman Old Style"/>
          <w:color w:val="538135" w:themeColor="accent6" w:themeShade="BF"/>
          <w:sz w:val="24"/>
          <w:szCs w:val="24"/>
        </w:rPr>
        <w:t xml:space="preserve"> 14.133, de 2021.</w:t>
      </w:r>
    </w:p>
    <w:p w14:paraId="73A6E184" w14:textId="2EC814F6" w:rsidR="00420A9E" w:rsidRPr="00C95298" w:rsidRDefault="00420A9E" w:rsidP="00C95298">
      <w:pPr>
        <w:pStyle w:val="PargrafodaLista"/>
        <w:numPr>
          <w:ilvl w:val="2"/>
          <w:numId w:val="2"/>
        </w:numPr>
        <w:spacing w:after="120" w:line="240" w:lineRule="auto"/>
        <w:contextualSpacing w:val="0"/>
        <w:jc w:val="both"/>
        <w:rPr>
          <w:rFonts w:ascii="Bookman Old Style" w:hAnsi="Bookman Old Style"/>
          <w:color w:val="538135" w:themeColor="accent6" w:themeShade="BF"/>
          <w:sz w:val="24"/>
          <w:szCs w:val="24"/>
        </w:rPr>
      </w:pPr>
      <w:r w:rsidRPr="00420A9E">
        <w:rPr>
          <w:rFonts w:ascii="Bookman Old Style" w:hAnsi="Bookman Old Style"/>
          <w:color w:val="538135" w:themeColor="accent6" w:themeShade="BF"/>
          <w:sz w:val="24"/>
          <w:szCs w:val="24"/>
        </w:rPr>
        <w:lastRenderedPageBreak/>
        <w:t>- Os valores estimados nesta contratação poderão ser reajustados, para mais ou menos, de acordo com o IPCA, divulgado pelo IBGE, ou pelo índice que venha a substituí-lo, nos termos fixados em Lei.</w:t>
      </w:r>
    </w:p>
    <w:p w14:paraId="360B69FB" w14:textId="77777777" w:rsidR="00420A9E" w:rsidRPr="00A57A7C" w:rsidRDefault="00420A9E"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p>
    <w:p w14:paraId="35604736"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13) Nosso entendimento está correto de que, balizados pelos princípios da legalidade e na garantia da ampla participação e competitividade das licitantes, os Atestados de Capacidade Técnica DEVERÃO se referir a Gestão de Mão de Obra Terceirizada que demonstre capacidade operacional para execução dos serviços?</w:t>
      </w:r>
    </w:p>
    <w:p w14:paraId="4998B9C2" w14:textId="77777777" w:rsidR="00A57A7C" w:rsidRDefault="00A57A7C" w:rsidP="00A57A7C">
      <w:pPr>
        <w:shd w:val="clear" w:color="auto" w:fill="FFFFFF"/>
        <w:spacing w:after="0" w:line="330" w:lineRule="atLeast"/>
        <w:jc w:val="both"/>
        <w:rPr>
          <w:rFonts w:ascii="Arial" w:eastAsia="Times New Roman" w:hAnsi="Arial" w:cs="Arial"/>
          <w:color w:val="444444"/>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 </w:t>
      </w:r>
    </w:p>
    <w:p w14:paraId="4138A015" w14:textId="4CB0878B" w:rsidR="00116771" w:rsidRPr="00116771" w:rsidRDefault="00116771" w:rsidP="00A57A7C">
      <w:pPr>
        <w:shd w:val="clear" w:color="auto" w:fill="FFFFFF"/>
        <w:spacing w:after="0" w:line="330" w:lineRule="atLeast"/>
        <w:jc w:val="both"/>
        <w:rPr>
          <w:rFonts w:ascii="Arial" w:eastAsia="Times New Roman" w:hAnsi="Arial" w:cs="Arial"/>
          <w:color w:val="0070C0"/>
          <w:kern w:val="0"/>
          <w:sz w:val="24"/>
          <w:szCs w:val="24"/>
          <w:lang w:eastAsia="pt-BR"/>
          <w14:ligatures w14:val="none"/>
        </w:rPr>
      </w:pPr>
      <w:r w:rsidRPr="00116771">
        <w:rPr>
          <w:rFonts w:ascii="Arial" w:eastAsia="Times New Roman" w:hAnsi="Arial" w:cs="Arial"/>
          <w:color w:val="0070C0"/>
          <w:kern w:val="0"/>
          <w:sz w:val="24"/>
          <w:szCs w:val="24"/>
          <w:lang w:eastAsia="pt-BR"/>
          <w14:ligatures w14:val="none"/>
        </w:rPr>
        <w:t>O atestado de capacidade técnica deve referir-se ao serviço do objeto em questão, que estão sendo licitado.</w:t>
      </w:r>
    </w:p>
    <w:p w14:paraId="31C5E2A2" w14:textId="77777777" w:rsidR="00116771" w:rsidRPr="00A57A7C" w:rsidRDefault="00116771"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p>
    <w:p w14:paraId="031B2AD6" w14:textId="77777777" w:rsid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14) </w:t>
      </w:r>
      <w:r w:rsidRPr="00A57A7C">
        <w:rPr>
          <w:rFonts w:ascii="Arial" w:eastAsia="Times New Roman" w:hAnsi="Arial" w:cs="Arial"/>
          <w:color w:val="222222"/>
          <w:kern w:val="0"/>
          <w:sz w:val="24"/>
          <w:szCs w:val="24"/>
          <w:lang w:eastAsia="pt-BR"/>
          <w14:ligatures w14:val="none"/>
        </w:rPr>
        <w:t>O orçamento da administração foi baseado na CCT de 2023 ou de 2024? Questionamos devido a repactuação, conforme Lei nº 14.133/2021 fixa que o termo inicial da contagem da periodicidade mínima para o reajuste é a data do orçamento estimado, podendo ser estabelecido mais de um índice específico ou setorial, “em conformidade com a realidade de mercado dos respectivos insumos” (art. 92, § 3º).  Questionamos qual ano CCT as licitantes deverão utilizar ?</w:t>
      </w:r>
    </w:p>
    <w:p w14:paraId="75A727E7" w14:textId="77777777" w:rsidR="00116771" w:rsidRPr="00116771" w:rsidRDefault="00116771"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p>
    <w:p w14:paraId="08B42545" w14:textId="74EA24EC" w:rsidR="00116771" w:rsidRPr="00116771" w:rsidRDefault="00116771" w:rsidP="00116771">
      <w:pPr>
        <w:rPr>
          <w:rFonts w:ascii="Arial" w:hAnsi="Arial" w:cs="Arial"/>
          <w:color w:val="0070C0"/>
          <w:sz w:val="24"/>
          <w:szCs w:val="24"/>
        </w:rPr>
      </w:pPr>
      <w:r w:rsidRPr="00116771">
        <w:rPr>
          <w:rFonts w:ascii="Arial" w:hAnsi="Arial" w:cs="Arial"/>
          <w:color w:val="0070C0"/>
          <w:sz w:val="24"/>
          <w:szCs w:val="24"/>
        </w:rPr>
        <w:t xml:space="preserve">A formação de preço </w:t>
      </w:r>
      <w:r w:rsidRPr="00116771">
        <w:rPr>
          <w:rFonts w:ascii="Arial" w:hAnsi="Arial" w:cs="Arial"/>
          <w:color w:val="0070C0"/>
          <w:sz w:val="24"/>
          <w:szCs w:val="24"/>
        </w:rPr>
        <w:t xml:space="preserve">se originou de </w:t>
      </w:r>
      <w:r w:rsidRPr="00116771">
        <w:rPr>
          <w:rFonts w:ascii="Arial" w:hAnsi="Arial" w:cs="Arial"/>
          <w:color w:val="0070C0"/>
          <w:sz w:val="24"/>
          <w:szCs w:val="24"/>
        </w:rPr>
        <w:t>pesquisa de preço em licitações ocorridas em outros entes públicos</w:t>
      </w:r>
      <w:r w:rsidRPr="00116771">
        <w:rPr>
          <w:rFonts w:ascii="Arial" w:hAnsi="Arial" w:cs="Arial"/>
          <w:color w:val="0070C0"/>
          <w:sz w:val="24"/>
          <w:szCs w:val="24"/>
        </w:rPr>
        <w:t>, inferior a 12 meses, conforme menciona a lei 14.133/2021</w:t>
      </w:r>
      <w:r w:rsidRPr="00116771">
        <w:rPr>
          <w:rFonts w:ascii="Arial" w:hAnsi="Arial" w:cs="Arial"/>
          <w:color w:val="0070C0"/>
          <w:sz w:val="24"/>
          <w:szCs w:val="24"/>
        </w:rPr>
        <w:t>.</w:t>
      </w:r>
    </w:p>
    <w:p w14:paraId="02067F84" w14:textId="033EF9E5" w:rsidR="00116771" w:rsidRPr="00116771" w:rsidRDefault="00116771" w:rsidP="00116771">
      <w:pPr>
        <w:rPr>
          <w:rFonts w:ascii="Arial" w:hAnsi="Arial" w:cs="Arial"/>
          <w:color w:val="0070C0"/>
          <w:sz w:val="24"/>
          <w:szCs w:val="24"/>
        </w:rPr>
      </w:pPr>
      <w:r w:rsidRPr="00116771">
        <w:rPr>
          <w:rFonts w:ascii="Arial" w:hAnsi="Arial" w:cs="Arial"/>
          <w:color w:val="0070C0"/>
          <w:sz w:val="24"/>
          <w:szCs w:val="24"/>
        </w:rPr>
        <w:t>Atualmente o município de Cordilheira Alta, possui ATA de registro de preço ao valor de R$ 35,06 por hora.</w:t>
      </w:r>
      <w:r w:rsidRPr="00116771">
        <w:rPr>
          <w:rFonts w:ascii="Arial" w:hAnsi="Arial" w:cs="Arial"/>
          <w:color w:val="0070C0"/>
          <w:sz w:val="24"/>
          <w:szCs w:val="24"/>
        </w:rPr>
        <w:br/>
        <w:t xml:space="preserve">Em pesquisa de preço, de contratações com a administração pública, </w:t>
      </w:r>
      <w:r w:rsidRPr="00116771">
        <w:rPr>
          <w:rFonts w:ascii="Arial" w:hAnsi="Arial" w:cs="Arial"/>
          <w:color w:val="0070C0"/>
          <w:sz w:val="24"/>
          <w:szCs w:val="24"/>
        </w:rPr>
        <w:t>foram utilizados como base os processos licitatório do</w:t>
      </w:r>
      <w:r w:rsidRPr="00116771">
        <w:rPr>
          <w:rFonts w:ascii="Arial" w:hAnsi="Arial" w:cs="Arial"/>
          <w:color w:val="0070C0"/>
          <w:sz w:val="24"/>
          <w:szCs w:val="24"/>
        </w:rPr>
        <w:t xml:space="preserve">s municípios de São Cristóvão do Sul (Proc. Licitatório 04/2024 04/03/2024), Descanso (Proc. Licitatório 70/2023 12/07/2023) e Águas Frias (Proc. Licitatório 60/2023 10/07/2023), </w:t>
      </w:r>
      <w:r w:rsidRPr="00116771">
        <w:rPr>
          <w:rFonts w:ascii="Arial" w:hAnsi="Arial" w:cs="Arial"/>
          <w:color w:val="0070C0"/>
          <w:sz w:val="24"/>
          <w:szCs w:val="24"/>
        </w:rPr>
        <w:t xml:space="preserve">e </w:t>
      </w:r>
      <w:r w:rsidRPr="00116771">
        <w:rPr>
          <w:rFonts w:ascii="Arial" w:hAnsi="Arial" w:cs="Arial"/>
          <w:color w:val="0070C0"/>
          <w:sz w:val="24"/>
          <w:szCs w:val="24"/>
        </w:rPr>
        <w:t>chegou-se a uma média de preço de R$ 39,45, conforme Mapa de Preços que faz parte do processo licitatório.</w:t>
      </w:r>
    </w:p>
    <w:p w14:paraId="444701AC" w14:textId="220574B9"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p>
    <w:p w14:paraId="73180A96" w14:textId="77777777" w:rsidR="00A57A7C" w:rsidRDefault="00A57A7C" w:rsidP="00A57A7C">
      <w:pPr>
        <w:shd w:val="clear" w:color="auto" w:fill="FFFFFF"/>
        <w:spacing w:after="0" w:line="330" w:lineRule="atLeast"/>
        <w:jc w:val="both"/>
        <w:rPr>
          <w:rFonts w:ascii="Arial" w:eastAsia="Times New Roman" w:hAnsi="Arial" w:cs="Arial"/>
          <w:color w:val="444444"/>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15) O intervalo para repouso e alimentação deverá ser indenizado ou será usufruído? Caso haja mais de 1 (um) tipo de posto, gentileza especificar quais serão indenizados e quais serão usufruídos.</w:t>
      </w:r>
    </w:p>
    <w:p w14:paraId="450F2914" w14:textId="77777777" w:rsidR="00865DC2" w:rsidRDefault="00865DC2" w:rsidP="00A57A7C">
      <w:pPr>
        <w:shd w:val="clear" w:color="auto" w:fill="FFFFFF"/>
        <w:spacing w:after="0" w:line="330" w:lineRule="atLeast"/>
        <w:jc w:val="both"/>
        <w:rPr>
          <w:rFonts w:ascii="Arial" w:eastAsia="Times New Roman" w:hAnsi="Arial" w:cs="Arial"/>
          <w:color w:val="444444"/>
          <w:kern w:val="0"/>
          <w:sz w:val="24"/>
          <w:szCs w:val="24"/>
          <w:lang w:eastAsia="pt-BR"/>
          <w14:ligatures w14:val="none"/>
        </w:rPr>
      </w:pPr>
    </w:p>
    <w:p w14:paraId="49495998" w14:textId="3D13E7E2" w:rsidR="00865DC2" w:rsidRPr="00865DC2" w:rsidRDefault="00865DC2" w:rsidP="00A57A7C">
      <w:pPr>
        <w:shd w:val="clear" w:color="auto" w:fill="FFFFFF"/>
        <w:spacing w:after="0" w:line="330" w:lineRule="atLeast"/>
        <w:jc w:val="both"/>
        <w:rPr>
          <w:rFonts w:ascii="Arial" w:eastAsia="Times New Roman" w:hAnsi="Arial" w:cs="Arial"/>
          <w:color w:val="0070C0"/>
          <w:kern w:val="0"/>
          <w:sz w:val="24"/>
          <w:szCs w:val="24"/>
          <w:lang w:eastAsia="pt-BR"/>
          <w14:ligatures w14:val="none"/>
        </w:rPr>
      </w:pPr>
      <w:r w:rsidRPr="00865DC2">
        <w:rPr>
          <w:rFonts w:ascii="Arial" w:eastAsia="Times New Roman" w:hAnsi="Arial" w:cs="Arial"/>
          <w:color w:val="0070C0"/>
          <w:kern w:val="0"/>
          <w:sz w:val="24"/>
          <w:szCs w:val="24"/>
          <w:lang w:eastAsia="pt-BR"/>
          <w14:ligatures w14:val="none"/>
        </w:rPr>
        <w:t>O intervalo deverá ser usufruído.</w:t>
      </w:r>
    </w:p>
    <w:p w14:paraId="7C5B0AEF"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444444"/>
          <w:kern w:val="0"/>
          <w:sz w:val="24"/>
          <w:szCs w:val="24"/>
          <w:lang w:eastAsia="pt-BR"/>
          <w14:ligatures w14:val="none"/>
        </w:rPr>
        <w:t> </w:t>
      </w:r>
    </w:p>
    <w:p w14:paraId="4BBF6923"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kern w:val="0"/>
          <w:sz w:val="24"/>
          <w:szCs w:val="24"/>
          <w:lang w:eastAsia="pt-BR"/>
          <w14:ligatures w14:val="none"/>
        </w:rPr>
        <w:t>16) Solicitamos esclarecimentos sobre a reserva de cotas previstas no edital e demais anexos do presente instrumento:</w:t>
      </w:r>
    </w:p>
    <w:p w14:paraId="0931365D"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kern w:val="0"/>
          <w:sz w:val="24"/>
          <w:szCs w:val="24"/>
          <w:lang w:eastAsia="pt-BR"/>
          <w14:ligatures w14:val="none"/>
        </w:rPr>
        <w:t> </w:t>
      </w:r>
    </w:p>
    <w:p w14:paraId="3FFF4EAC"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kern w:val="0"/>
          <w:sz w:val="24"/>
          <w:szCs w:val="24"/>
          <w:lang w:eastAsia="pt-BR"/>
          <w14:ligatures w14:val="none"/>
        </w:rPr>
        <w:lastRenderedPageBreak/>
        <w:t>Os itens relacionados ao cumprimento das cotas legais exigidos para habilitação das empresas, delimitam que estas devem declarar que cumprem as exigências de reserva de cargos pera pessoas com deficiência e aprendiz conforme art. 166 da Lei nº 14.133/2021, e que durante a execução do contrato poderá ser solicitado comprovação do cumprimento de cotas.</w:t>
      </w:r>
    </w:p>
    <w:p w14:paraId="407A01DD"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kern w:val="0"/>
          <w:sz w:val="24"/>
          <w:szCs w:val="24"/>
          <w:lang w:eastAsia="pt-BR"/>
          <w14:ligatures w14:val="none"/>
        </w:rPr>
        <w:t>Contudo, não é delimitado no termo de referência e minuta de edital, quais as vagas e locais serão destinados para o cumprimento das cotas legais.</w:t>
      </w:r>
    </w:p>
    <w:p w14:paraId="23A64BE9"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kern w:val="0"/>
          <w:sz w:val="24"/>
          <w:szCs w:val="24"/>
          <w:lang w:eastAsia="pt-BR"/>
          <w14:ligatures w14:val="none"/>
        </w:rPr>
        <w:t>É cediço que a contratação e a execução dos serviços devem primar pela prevalência da função social do contrato, visto que nos termos do que prescreve o art. 89 da Lei de Licitações, os contratos de que trata esta Lei regular-se-ão pelas suas cláusulas e pelos preceitos de direito público, e a eles serão aplicados, supletivamente, os princípios da teoria geral dos contratos e as disposições de direito privado.</w:t>
      </w:r>
    </w:p>
    <w:p w14:paraId="3DBAEE34"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kern w:val="0"/>
          <w:sz w:val="24"/>
          <w:szCs w:val="24"/>
          <w:lang w:eastAsia="pt-BR"/>
          <w14:ligatures w14:val="none"/>
        </w:rPr>
        <w:t>Nesse sentido, não se pode ignorar que ao prever a contratação de serviços com disponibilização de mão de obra exclusiva, utilizando dinheiro da máquina pública, deve a Administração primar pela adoção de cláusulas e condições que reforcem o atendimento da função social do contrato, implementando condições para obediência ao contido no art. 6º da Constituição Federal, que prevê a necessidade de adoção de meios necessários para inclusão social.</w:t>
      </w:r>
    </w:p>
    <w:p w14:paraId="47512272"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kern w:val="0"/>
          <w:sz w:val="24"/>
          <w:szCs w:val="24"/>
          <w:lang w:eastAsia="pt-BR"/>
          <w14:ligatures w14:val="none"/>
        </w:rPr>
        <w:t>O art. 93 da Lei nº 8.213/91 dispõe que a empresa com 100 (cem) ou mais empregados está obrigada a preencher de 2% a 5% dos seus cargos com beneficiários reabilitados ou pessoas portadoras de deficiência.</w:t>
      </w:r>
    </w:p>
    <w:p w14:paraId="0EA35C4A"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kern w:val="0"/>
          <w:sz w:val="24"/>
          <w:szCs w:val="24"/>
          <w:lang w:eastAsia="pt-BR"/>
          <w14:ligatures w14:val="none"/>
        </w:rPr>
        <w:t>As empresas de prestação de serviços por serem predominantemente especializadas na disponibilização de mão de obra, estão obrigadas ao cumprimento das cotas de beneficiários reabilitados ou com deficiência, cujo computo da porcentagem tem como base o volume de trabalhadores registrado no CNPJ da empresa, o que inclui os trabalhadores alocados junto aos tomadores de serviços.</w:t>
      </w:r>
    </w:p>
    <w:p w14:paraId="2C183370"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kern w:val="0"/>
          <w:sz w:val="24"/>
          <w:szCs w:val="24"/>
          <w:lang w:eastAsia="pt-BR"/>
          <w14:ligatures w14:val="none"/>
        </w:rPr>
        <w:t>Nesta senda, para cumprir a regra que determina a lei, as empresas tem a necessidade de alocar junto aos tomadores de serviços, profissionais reabilitados e/ou com deficiência para atendimento do normativo legal.</w:t>
      </w:r>
    </w:p>
    <w:p w14:paraId="377A1E23"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kern w:val="0"/>
          <w:sz w:val="24"/>
          <w:szCs w:val="24"/>
          <w:lang w:eastAsia="pt-BR"/>
          <w14:ligatures w14:val="none"/>
        </w:rPr>
        <w:t>Todavia, não havendo delimitação no instrumento convocatório que possibilite a inclusão de pessoa com deficiência, torna-se difícil para as empresas de terceirização de serviços a disponibilização desses profissionais, visto que o termo de referência do edital especifica apenas e tão somente as atividades a serem desenvolvidas, contudo, não especifica as especificidades dos locais de prestação de serviços e quais os tipos de deficiência os locais comportam.</w:t>
      </w:r>
    </w:p>
    <w:p w14:paraId="62E3055F"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kern w:val="0"/>
          <w:sz w:val="24"/>
          <w:szCs w:val="24"/>
          <w:lang w:eastAsia="pt-BR"/>
          <w14:ligatures w14:val="none"/>
        </w:rPr>
        <w:t xml:space="preserve">Assevera-se que ainda que para uma pessoa com deficiência possa executar atividades com a mesma qualidade de uma pessoa sem qualquer deficiência, existem situações que necessitam de tratamento diferenciado, tais como pessoas com dificuldade de locomoção (cadeirantes), em que o local a ser desenvolvida atividade deve conter rampas de acesso, as mesas de escritório </w:t>
      </w:r>
      <w:r w:rsidRPr="00A57A7C">
        <w:rPr>
          <w:rFonts w:ascii="Arial" w:eastAsia="Times New Roman" w:hAnsi="Arial" w:cs="Arial"/>
          <w:color w:val="222222"/>
          <w:kern w:val="0"/>
          <w:sz w:val="24"/>
          <w:szCs w:val="24"/>
          <w:lang w:eastAsia="pt-BR"/>
          <w14:ligatures w14:val="none"/>
        </w:rPr>
        <w:lastRenderedPageBreak/>
        <w:t>devem possibilitar o acesso da cadeira, os banheiros devem ser adaptados, assim como bebedouros e armários que a pessoa deverá fazer utilização.</w:t>
      </w:r>
    </w:p>
    <w:p w14:paraId="3A51F37D"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kern w:val="0"/>
          <w:sz w:val="24"/>
          <w:szCs w:val="24"/>
          <w:lang w:eastAsia="pt-BR"/>
          <w14:ligatures w14:val="none"/>
        </w:rPr>
        <w:t>Uma pessoa com paralisia em parte do corpo por exemplo, pode desenvolver diversas atividades, muito embora por conta de sua limitação, empregará um maior esforço no desempenho das funções, mas será capaz de exercer. O problema, neste caso, estará na receptividade que a pessoa vai encontrar no ambiente de trabalho. O local e as pessoas que recebem esse tipo de profissional devem estar cientes e conscientes de que uma pessoa com deficiência não é uma pessoa incapacitada, e sim uma pessoa com limitações ou capacidade reduzida ou diferenciada, mas que são aptas a executarem as atividades necessárias de maneira diferenciada.</w:t>
      </w:r>
    </w:p>
    <w:p w14:paraId="74F6E46A"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kern w:val="0"/>
          <w:sz w:val="24"/>
          <w:szCs w:val="24"/>
          <w:lang w:eastAsia="pt-BR"/>
          <w14:ligatures w14:val="none"/>
        </w:rPr>
        <w:t>Para tanto, há necessidade de haver ponderação e compreensão da parte contrária que receberá a contraprestação dos serviços e as pessoas que estejam ao redor ou recebendo os serviços devem ter ciência e corroborar para o desenvolvimento e inclusão dessa pessoa, para que ela se sinta acolhida e estimulada a executar as suas atividades.</w:t>
      </w:r>
    </w:p>
    <w:p w14:paraId="3EA5A6D3"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kern w:val="0"/>
          <w:sz w:val="24"/>
          <w:szCs w:val="24"/>
          <w:lang w:eastAsia="pt-BR"/>
          <w14:ligatures w14:val="none"/>
        </w:rPr>
        <w:t>É de conhecimento que empresas de prestação de serviços necessitam da colaboração dos tomadores de serviços para cumprimento da cota social, visto que não é possível cada empresa cumprir com a obrigação legal se ela não tiver a opção de colocar as pessoas com deficiência e os aprendizes nos tomadores para execução dos serviços, a sede administrativa das licitantes não comportaria tamanho custo, inviabilizando o negócio da empresa, o que é regra entre todas as empresas de terceirização de serviços.</w:t>
      </w:r>
    </w:p>
    <w:p w14:paraId="73FDD147"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kern w:val="0"/>
          <w:sz w:val="24"/>
          <w:szCs w:val="24"/>
          <w:lang w:eastAsia="pt-BR"/>
          <w14:ligatures w14:val="none"/>
        </w:rPr>
        <w:t>Não raras as vezes as empresas de deparam com situações que impedem o cumprimento da cotas legais, tais como falta de pessoas com deficiência para o preenchimento de vagas que a empresa possui disponível, falta de curso de qualificação para inclusão de jovens aprendizes nas áreas e vagas que a empresa tem disponível, assim como falta de reserva de vagas em contratos firmados com os tomadores de serviços, para os quais as contratadas são impedidas de incluir pessoas destinadas ao preenchimento das cotas legais.</w:t>
      </w:r>
    </w:p>
    <w:p w14:paraId="6B528ED2"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kern w:val="0"/>
          <w:sz w:val="24"/>
          <w:szCs w:val="24"/>
          <w:lang w:eastAsia="pt-BR"/>
          <w14:ligatures w14:val="none"/>
        </w:rPr>
        <w:t>As dificuldades para o cumprimento da cota são reconhecidas pelo judiciário, que tem o entendimento pacífico em relação a impossibilidade de penalização às empresas, quando efetivamente comprovado que a empresa envidou todos os esforços necessários para o cumprimento da cota legal. Vejamos:</w:t>
      </w:r>
    </w:p>
    <w:p w14:paraId="593DFC35"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kern w:val="0"/>
          <w:sz w:val="24"/>
          <w:szCs w:val="24"/>
          <w:lang w:eastAsia="pt-BR"/>
          <w14:ligatures w14:val="none"/>
        </w:rPr>
        <w:t> </w:t>
      </w:r>
    </w:p>
    <w:p w14:paraId="3A016914" w14:textId="77777777" w:rsidR="00A57A7C" w:rsidRPr="00A57A7C" w:rsidRDefault="00A57A7C" w:rsidP="00A57A7C">
      <w:pPr>
        <w:shd w:val="clear" w:color="auto" w:fill="FFFFFF"/>
        <w:spacing w:after="0" w:line="330" w:lineRule="atLeast"/>
        <w:ind w:left="2268"/>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000000"/>
          <w:spacing w:val="2"/>
          <w:kern w:val="0"/>
          <w:sz w:val="24"/>
          <w:szCs w:val="24"/>
          <w:lang w:eastAsia="pt-BR"/>
          <w14:ligatures w14:val="none"/>
        </w:rPr>
        <w:t xml:space="preserve">COTA DE VAGAS DE EMPREGO PARA PESSOAS COM DEFICIÊNCIA (PCD). DESCUMPRIMENTO. AUSÊNCIA DE RESPONSABILIDADE DO EMPREGADOR. A Lei nº 8.213/1991 incluiu, entre as estratégias de política pública de promoção da cidadania das PCDs, a obrigação do empregador com mais de cem empregados de destinar de 2% a 5% de seus cargos para pessoas reabilitadas ou </w:t>
      </w:r>
      <w:r w:rsidRPr="00A57A7C">
        <w:rPr>
          <w:rFonts w:ascii="Arial" w:eastAsia="Times New Roman" w:hAnsi="Arial" w:cs="Arial"/>
          <w:color w:val="000000"/>
          <w:spacing w:val="2"/>
          <w:kern w:val="0"/>
          <w:sz w:val="24"/>
          <w:szCs w:val="24"/>
          <w:lang w:eastAsia="pt-BR"/>
          <w14:ligatures w14:val="none"/>
        </w:rPr>
        <w:lastRenderedPageBreak/>
        <w:t>com deficiência habilitadas. </w:t>
      </w:r>
      <w:r w:rsidRPr="00A57A7C">
        <w:rPr>
          <w:rFonts w:ascii="Arial" w:eastAsia="Times New Roman" w:hAnsi="Arial" w:cs="Arial"/>
          <w:b/>
          <w:bCs/>
          <w:color w:val="000000"/>
          <w:spacing w:val="2"/>
          <w:kern w:val="0"/>
          <w:sz w:val="24"/>
          <w:szCs w:val="24"/>
          <w:u w:val="single"/>
          <w:lang w:eastAsia="pt-BR"/>
          <w14:ligatures w14:val="none"/>
        </w:rPr>
        <w:t>Contudo, não se deve punir o empregador por seu descumprimento quando há prova de sua postura forte, proativa e contínua de enfrentamento do déficit no preenchimento das respectivas vagas.</w:t>
      </w:r>
      <w:r w:rsidRPr="00A57A7C">
        <w:rPr>
          <w:rFonts w:ascii="Arial" w:eastAsia="Times New Roman" w:hAnsi="Arial" w:cs="Arial"/>
          <w:color w:val="000000"/>
          <w:spacing w:val="2"/>
          <w:kern w:val="0"/>
          <w:sz w:val="24"/>
          <w:szCs w:val="24"/>
          <w:lang w:eastAsia="pt-BR"/>
          <w14:ligatures w14:val="none"/>
        </w:rPr>
        <w:t xml:space="preserve"> (TRT12 - AP - 0000723-14.2017.5.12.0018 , Rel. MARI ELEDA MIGLIORINI , 5ª Câmara , Data de Assinatura: 20/08/2020) (TRT-12 - AP: 00007231420175120018 SC, Relator: MARI ELEDA MIGLIORINI, Data de Julgamento: 04/08/2020, </w:t>
      </w:r>
      <w:proofErr w:type="spellStart"/>
      <w:r w:rsidRPr="00A57A7C">
        <w:rPr>
          <w:rFonts w:ascii="Arial" w:eastAsia="Times New Roman" w:hAnsi="Arial" w:cs="Arial"/>
          <w:color w:val="000000"/>
          <w:spacing w:val="2"/>
          <w:kern w:val="0"/>
          <w:sz w:val="24"/>
          <w:szCs w:val="24"/>
          <w:lang w:eastAsia="pt-BR"/>
          <w14:ligatures w14:val="none"/>
        </w:rPr>
        <w:t>Gab</w:t>
      </w:r>
      <w:proofErr w:type="spellEnd"/>
      <w:r w:rsidRPr="00A57A7C">
        <w:rPr>
          <w:rFonts w:ascii="Arial" w:eastAsia="Times New Roman" w:hAnsi="Arial" w:cs="Arial"/>
          <w:color w:val="000000"/>
          <w:spacing w:val="2"/>
          <w:kern w:val="0"/>
          <w:sz w:val="24"/>
          <w:szCs w:val="24"/>
          <w:lang w:eastAsia="pt-BR"/>
          <w14:ligatures w14:val="none"/>
        </w:rPr>
        <w:t xml:space="preserve">. </w:t>
      </w:r>
      <w:proofErr w:type="spellStart"/>
      <w:r w:rsidRPr="00A57A7C">
        <w:rPr>
          <w:rFonts w:ascii="Arial" w:eastAsia="Times New Roman" w:hAnsi="Arial" w:cs="Arial"/>
          <w:color w:val="000000"/>
          <w:spacing w:val="2"/>
          <w:kern w:val="0"/>
          <w:sz w:val="24"/>
          <w:szCs w:val="24"/>
          <w:lang w:eastAsia="pt-BR"/>
          <w14:ligatures w14:val="none"/>
        </w:rPr>
        <w:t>Des.a</w:t>
      </w:r>
      <w:proofErr w:type="spellEnd"/>
      <w:r w:rsidRPr="00A57A7C">
        <w:rPr>
          <w:rFonts w:ascii="Arial" w:eastAsia="Times New Roman" w:hAnsi="Arial" w:cs="Arial"/>
          <w:color w:val="000000"/>
          <w:spacing w:val="2"/>
          <w:kern w:val="0"/>
          <w:sz w:val="24"/>
          <w:szCs w:val="24"/>
          <w:lang w:eastAsia="pt-BR"/>
          <w14:ligatures w14:val="none"/>
        </w:rPr>
        <w:t xml:space="preserve">. Mari </w:t>
      </w:r>
      <w:proofErr w:type="spellStart"/>
      <w:r w:rsidRPr="00A57A7C">
        <w:rPr>
          <w:rFonts w:ascii="Arial" w:eastAsia="Times New Roman" w:hAnsi="Arial" w:cs="Arial"/>
          <w:color w:val="000000"/>
          <w:spacing w:val="2"/>
          <w:kern w:val="0"/>
          <w:sz w:val="24"/>
          <w:szCs w:val="24"/>
          <w:lang w:eastAsia="pt-BR"/>
          <w14:ligatures w14:val="none"/>
        </w:rPr>
        <w:t>Eleda</w:t>
      </w:r>
      <w:proofErr w:type="spellEnd"/>
      <w:r w:rsidRPr="00A57A7C">
        <w:rPr>
          <w:rFonts w:ascii="Arial" w:eastAsia="Times New Roman" w:hAnsi="Arial" w:cs="Arial"/>
          <w:color w:val="000000"/>
          <w:spacing w:val="2"/>
          <w:kern w:val="0"/>
          <w:sz w:val="24"/>
          <w:szCs w:val="24"/>
          <w:lang w:eastAsia="pt-BR"/>
          <w14:ligatures w14:val="none"/>
        </w:rPr>
        <w:t xml:space="preserve"> Migliorini) (</w:t>
      </w:r>
      <w:r w:rsidRPr="00A57A7C">
        <w:rPr>
          <w:rFonts w:ascii="Arial" w:eastAsia="Times New Roman" w:hAnsi="Arial" w:cs="Arial"/>
          <w:i/>
          <w:iCs/>
          <w:color w:val="000000"/>
          <w:spacing w:val="2"/>
          <w:kern w:val="0"/>
          <w:sz w:val="24"/>
          <w:szCs w:val="24"/>
          <w:lang w:eastAsia="pt-BR"/>
          <w14:ligatures w14:val="none"/>
        </w:rPr>
        <w:t>Grifamos</w:t>
      </w:r>
      <w:r w:rsidRPr="00A57A7C">
        <w:rPr>
          <w:rFonts w:ascii="Arial" w:eastAsia="Times New Roman" w:hAnsi="Arial" w:cs="Arial"/>
          <w:color w:val="000000"/>
          <w:spacing w:val="2"/>
          <w:kern w:val="0"/>
          <w:sz w:val="24"/>
          <w:szCs w:val="24"/>
          <w:lang w:eastAsia="pt-BR"/>
          <w14:ligatures w14:val="none"/>
        </w:rPr>
        <w:t>)</w:t>
      </w:r>
    </w:p>
    <w:p w14:paraId="6328E65A" w14:textId="77777777" w:rsidR="00A57A7C" w:rsidRPr="00A57A7C" w:rsidRDefault="00A57A7C" w:rsidP="00A57A7C">
      <w:pPr>
        <w:shd w:val="clear" w:color="auto" w:fill="FFFFFF"/>
        <w:spacing w:after="0" w:line="330" w:lineRule="atLeast"/>
        <w:ind w:left="2268"/>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spacing w:val="2"/>
          <w:kern w:val="0"/>
          <w:sz w:val="24"/>
          <w:szCs w:val="24"/>
          <w:lang w:eastAsia="pt-BR"/>
          <w14:ligatures w14:val="none"/>
        </w:rPr>
        <w:t> </w:t>
      </w:r>
    </w:p>
    <w:p w14:paraId="3319EC7A" w14:textId="77777777" w:rsidR="00A57A7C" w:rsidRPr="00A57A7C" w:rsidRDefault="00A57A7C" w:rsidP="00A57A7C">
      <w:pPr>
        <w:shd w:val="clear" w:color="auto" w:fill="FFFFFF"/>
        <w:spacing w:after="0" w:line="330" w:lineRule="atLeast"/>
        <w:ind w:left="2268"/>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000000"/>
          <w:spacing w:val="2"/>
          <w:kern w:val="0"/>
          <w:sz w:val="24"/>
          <w:szCs w:val="24"/>
          <w:lang w:eastAsia="pt-BR"/>
          <w14:ligatures w14:val="none"/>
        </w:rPr>
        <w:t>AUTO DE INFRAÇÃO. ARTIGO 93 DA LEI 8.213/91. NÃO PREENCHIMENTO DA COTA DE CONTRATAÇÃO DE PCD POR FALTA DE PROFISSIONAIS REABILITADOS. DILIGÊNCIAS SUFICIENTES DA EMPRESA. MULTA AFASTADA. </w:t>
      </w:r>
      <w:r w:rsidRPr="00A57A7C">
        <w:rPr>
          <w:rFonts w:ascii="Arial" w:eastAsia="Times New Roman" w:hAnsi="Arial" w:cs="Arial"/>
          <w:b/>
          <w:bCs/>
          <w:color w:val="000000"/>
          <w:spacing w:val="2"/>
          <w:kern w:val="0"/>
          <w:sz w:val="24"/>
          <w:szCs w:val="24"/>
          <w:u w:val="single"/>
          <w:lang w:eastAsia="pt-BR"/>
          <w14:ligatures w14:val="none"/>
        </w:rPr>
        <w:t xml:space="preserve">Trilhando precedente desta Turma, tem-se por demonstrado à saciedade que a empresa recorrida envidou esforços suficientes para contratar pessoas portadoras de necessidades especiais, não tendo alcançado êxito em atingir a cota de </w:t>
      </w:r>
      <w:proofErr w:type="spellStart"/>
      <w:r w:rsidRPr="00A57A7C">
        <w:rPr>
          <w:rFonts w:ascii="Arial" w:eastAsia="Times New Roman" w:hAnsi="Arial" w:cs="Arial"/>
          <w:b/>
          <w:bCs/>
          <w:color w:val="000000"/>
          <w:spacing w:val="2"/>
          <w:kern w:val="0"/>
          <w:sz w:val="24"/>
          <w:szCs w:val="24"/>
          <w:u w:val="single"/>
          <w:lang w:eastAsia="pt-BR"/>
          <w14:ligatures w14:val="none"/>
        </w:rPr>
        <w:t>PcD</w:t>
      </w:r>
      <w:proofErr w:type="spellEnd"/>
      <w:r w:rsidRPr="00A57A7C">
        <w:rPr>
          <w:rFonts w:ascii="Arial" w:eastAsia="Times New Roman" w:hAnsi="Arial" w:cs="Arial"/>
          <w:b/>
          <w:bCs/>
          <w:color w:val="000000"/>
          <w:spacing w:val="2"/>
          <w:kern w:val="0"/>
          <w:sz w:val="24"/>
          <w:szCs w:val="24"/>
          <w:u w:val="single"/>
          <w:lang w:eastAsia="pt-BR"/>
          <w14:ligatures w14:val="none"/>
        </w:rPr>
        <w:t xml:space="preserve"> por circunstâncias alheias à sua vontade, o que afasta a validade do auto infracional e a multa dele decorrente</w:t>
      </w:r>
      <w:r w:rsidRPr="00A57A7C">
        <w:rPr>
          <w:rFonts w:ascii="Arial" w:eastAsia="Times New Roman" w:hAnsi="Arial" w:cs="Arial"/>
          <w:color w:val="000000"/>
          <w:spacing w:val="2"/>
          <w:kern w:val="0"/>
          <w:sz w:val="24"/>
          <w:szCs w:val="24"/>
          <w:lang w:eastAsia="pt-BR"/>
          <w14:ligatures w14:val="none"/>
        </w:rPr>
        <w:t>. Recurso da União não provido. (TRT-7 - ROT: 00012326320195070001 CE, Relator: EMMANUEL TEOFILO FURTADO, 2ª Turma, Data de Publicação: 24/05/2021) (Grifamos)</w:t>
      </w:r>
    </w:p>
    <w:p w14:paraId="0491DFBD" w14:textId="77777777" w:rsidR="00A57A7C" w:rsidRPr="00A57A7C" w:rsidRDefault="00A57A7C" w:rsidP="00A57A7C">
      <w:pPr>
        <w:shd w:val="clear" w:color="auto" w:fill="FFFFFF"/>
        <w:spacing w:after="0" w:line="330" w:lineRule="atLeast"/>
        <w:ind w:left="2268"/>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spacing w:val="2"/>
          <w:kern w:val="0"/>
          <w:sz w:val="24"/>
          <w:szCs w:val="24"/>
          <w:lang w:eastAsia="pt-BR"/>
          <w14:ligatures w14:val="none"/>
        </w:rPr>
        <w:t> </w:t>
      </w:r>
    </w:p>
    <w:p w14:paraId="6B40F9D9" w14:textId="77777777" w:rsidR="00A57A7C" w:rsidRPr="00A57A7C" w:rsidRDefault="00A57A7C" w:rsidP="00A57A7C">
      <w:pPr>
        <w:shd w:val="clear" w:color="auto" w:fill="FFFFFF"/>
        <w:spacing w:after="0" w:line="330" w:lineRule="atLeast"/>
        <w:ind w:left="2268"/>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000000"/>
          <w:spacing w:val="2"/>
          <w:kern w:val="0"/>
          <w:sz w:val="24"/>
          <w:szCs w:val="24"/>
          <w:lang w:eastAsia="pt-BR"/>
          <w14:ligatures w14:val="none"/>
        </w:rPr>
        <w:t>I - AGRAVO DE INSTRUMENTO. RECURSO DE REVISTA. LEI Nº 13.015/2014. AÇÃO CIVIL PÚBLICA. TUTELA INIBITÓRIA. OBRIGAÇÃO DE FAZER. CONTRATAÇÃO DE PORTADORES DE NECESSIDADES ESPECIAIS E REABILITADOS. NÃO PREENCHIMENTO INTEGRAL DA COTA. </w:t>
      </w:r>
      <w:r w:rsidRPr="00A57A7C">
        <w:rPr>
          <w:rFonts w:ascii="Arial" w:eastAsia="Times New Roman" w:hAnsi="Arial" w:cs="Arial"/>
          <w:b/>
          <w:bCs/>
          <w:color w:val="000000"/>
          <w:spacing w:val="2"/>
          <w:kern w:val="0"/>
          <w:sz w:val="24"/>
          <w:szCs w:val="24"/>
          <w:u w:val="single"/>
          <w:lang w:eastAsia="pt-BR"/>
          <w14:ligatures w14:val="none"/>
        </w:rPr>
        <w:t>Nos termos da jurisprudência desta Corte, não é cabível a condenação da reclamada pelo não preenchimento das vagas destinadas por lei aos portadores de deficiência ou reabilitados quando a empresa empreendeu todos os esforços possíveis para a ocupação das cotas legais, deixando de contratar a cota mínima por motivos alheios à sua vontade.</w:t>
      </w:r>
      <w:r w:rsidRPr="00A57A7C">
        <w:rPr>
          <w:rFonts w:ascii="Arial" w:eastAsia="Times New Roman" w:hAnsi="Arial" w:cs="Arial"/>
          <w:color w:val="000000"/>
          <w:spacing w:val="2"/>
          <w:kern w:val="0"/>
          <w:sz w:val="24"/>
          <w:szCs w:val="24"/>
          <w:lang w:eastAsia="pt-BR"/>
          <w14:ligatures w14:val="none"/>
        </w:rPr>
        <w:t xml:space="preserve"> Na hipótese, o Tribunal Regional manteve a sentença que absolvera a reclamada da obrigação de fazer, consistente </w:t>
      </w:r>
      <w:r w:rsidRPr="00A57A7C">
        <w:rPr>
          <w:rFonts w:ascii="Arial" w:eastAsia="Times New Roman" w:hAnsi="Arial" w:cs="Arial"/>
          <w:color w:val="000000"/>
          <w:spacing w:val="2"/>
          <w:kern w:val="0"/>
          <w:sz w:val="24"/>
          <w:szCs w:val="24"/>
          <w:lang w:eastAsia="pt-BR"/>
          <w14:ligatures w14:val="none"/>
        </w:rPr>
        <w:lastRenderedPageBreak/>
        <w:t>no preenchimento de vagas de postos de trabalho para deficientes, ao fundamento de que a reclamada envidou esforços no sentido de divulgação de vagas e contratação de pessoas portadoras de necessidades especiais, sem, contudo, obter sucesso no preenchimento da cota mínima legal exigida pelo art. 93 da Lei 8.213/1991, em face da insuficiência de candidatos, acrescentando que não se evidencia conduta recalcitrante ou deliberada da empresa no sentido de furtar-se ao cumprimento da norma legal. Conclusão fática diversa somente seria possível mediante o revolvimento do conteúdo fático-probatório produzido nos autos, procedimento vedado nesta fase processual, diante do óbice da Súmula 126/TST. Agravo de instrumento a que se nega provimento . II - RECURSO DE REVISTA. LEI Nº 13.015/2014. AÇÃO CIVIL PÚBLICA. CONTRATAÇÃO DE PORTADORES DE NECESSIDADES ESPECIAIS E REABILITADOS. NÃO PREENCHIMENTO INTEGRAL DA COTA. DANOS MORAIS COLETIVOS. INDEVIDOS. INEXISTÊNCIA DE CONDUTA ILÍCITA. Trata-se de ação pública civil proposta pelo Ministério Público do Trabalho que requer a condenação da reclamada em danos morais coletivos em razão do não cumprimento integral do previsto no art. 93 da Lei 8.213/1991. </w:t>
      </w:r>
      <w:r w:rsidRPr="00A57A7C">
        <w:rPr>
          <w:rFonts w:ascii="Arial" w:eastAsia="Times New Roman" w:hAnsi="Arial" w:cs="Arial"/>
          <w:b/>
          <w:bCs/>
          <w:color w:val="000000"/>
          <w:spacing w:val="2"/>
          <w:kern w:val="0"/>
          <w:sz w:val="24"/>
          <w:szCs w:val="24"/>
          <w:u w:val="single"/>
          <w:lang w:eastAsia="pt-BR"/>
          <w14:ligatures w14:val="none"/>
        </w:rPr>
        <w:t>O Tribunal Regional manteve a sentença que indeferira o pedido sob o fundamento de que a reclamada envidou esforços no sentido de divulgação de vagas e contratação de pessoas portadoras de necessidades especiais, sem, contudo, obter sucesso no preenchimento da cota mínima legal exigida pelo art. 93 da Lei 8.213/91, em face da insuficiência de candidatos, de modo que não se mostra possível atribuir-se à empresa conduta deliberada de recusa à contratação de trabalhadores deficientes e reabilitados ou eventual prática discriminatória. Nesse viés, verifica-se que a empresa empreendeu esforços a fim de cumprir a exigência legal, não obtendo êxito integral na sua empreitada por dificuldades alheias a sua vontade, não podendo ser penalizada pelo não atingimento completo do percentual previsto no art. 93 da Lei 8.213/1991.</w:t>
      </w:r>
      <w:r w:rsidRPr="00A57A7C">
        <w:rPr>
          <w:rFonts w:ascii="Arial" w:eastAsia="Times New Roman" w:hAnsi="Arial" w:cs="Arial"/>
          <w:color w:val="000000"/>
          <w:spacing w:val="2"/>
          <w:kern w:val="0"/>
          <w:sz w:val="24"/>
          <w:szCs w:val="24"/>
          <w:lang w:eastAsia="pt-BR"/>
          <w14:ligatures w14:val="none"/>
        </w:rPr>
        <w:t xml:space="preserve"> Precedentes. Recurso de revista não conhecido. (TST - ARR: 00015882420155090654, </w:t>
      </w:r>
      <w:r w:rsidRPr="00A57A7C">
        <w:rPr>
          <w:rFonts w:ascii="Arial" w:eastAsia="Times New Roman" w:hAnsi="Arial" w:cs="Arial"/>
          <w:color w:val="000000"/>
          <w:spacing w:val="2"/>
          <w:kern w:val="0"/>
          <w:sz w:val="24"/>
          <w:szCs w:val="24"/>
          <w:lang w:eastAsia="pt-BR"/>
          <w14:ligatures w14:val="none"/>
        </w:rPr>
        <w:lastRenderedPageBreak/>
        <w:t>Relator: Maria Helena Mallmann, Data de Julgamento: 14/09/2022, 2ª Turma, Data de Publicação: 16/09/2022) (Grifamos)</w:t>
      </w:r>
    </w:p>
    <w:p w14:paraId="36BDEFC5"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kern w:val="0"/>
          <w:sz w:val="24"/>
          <w:szCs w:val="24"/>
          <w:lang w:eastAsia="pt-BR"/>
          <w14:ligatures w14:val="none"/>
        </w:rPr>
        <w:t> </w:t>
      </w:r>
    </w:p>
    <w:p w14:paraId="2FA42ECF" w14:textId="77777777" w:rsidR="00A57A7C" w:rsidRP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kern w:val="0"/>
          <w:sz w:val="24"/>
          <w:szCs w:val="24"/>
          <w:lang w:eastAsia="pt-BR"/>
          <w14:ligatures w14:val="none"/>
        </w:rPr>
        <w:t>Consubstanciado no exposto, questiona-se: </w:t>
      </w:r>
    </w:p>
    <w:p w14:paraId="48A497A9" w14:textId="77777777" w:rsid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kern w:val="0"/>
          <w:sz w:val="24"/>
          <w:szCs w:val="24"/>
          <w:lang w:eastAsia="pt-BR"/>
          <w14:ligatures w14:val="none"/>
        </w:rPr>
        <w:t>a) Qual será a forma de fiscalização sobre o cumprimento da cota a ser estabelecido por esta entidade, para confirmar que as empresas estão cumprindo a cota legal?</w:t>
      </w:r>
    </w:p>
    <w:p w14:paraId="69EEE42D" w14:textId="77777777" w:rsidR="00865DC2" w:rsidRDefault="00865DC2"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p>
    <w:p w14:paraId="50763212" w14:textId="713F5333" w:rsidR="00865DC2" w:rsidRPr="00865DC2" w:rsidRDefault="00865DC2" w:rsidP="00A57A7C">
      <w:pPr>
        <w:shd w:val="clear" w:color="auto" w:fill="FFFFFF"/>
        <w:spacing w:after="0" w:line="330" w:lineRule="atLeast"/>
        <w:jc w:val="both"/>
        <w:rPr>
          <w:rFonts w:ascii="Arial" w:eastAsia="Times New Roman" w:hAnsi="Arial" w:cs="Arial"/>
          <w:color w:val="0070C0"/>
          <w:kern w:val="0"/>
          <w:sz w:val="24"/>
          <w:szCs w:val="24"/>
          <w:lang w:eastAsia="pt-BR"/>
          <w14:ligatures w14:val="none"/>
        </w:rPr>
      </w:pPr>
      <w:r w:rsidRPr="00865DC2">
        <w:rPr>
          <w:rFonts w:ascii="Arial" w:eastAsia="Times New Roman" w:hAnsi="Arial" w:cs="Arial"/>
          <w:color w:val="0070C0"/>
          <w:kern w:val="0"/>
          <w:sz w:val="24"/>
          <w:szCs w:val="24"/>
          <w:lang w:eastAsia="pt-BR"/>
          <w14:ligatures w14:val="none"/>
        </w:rPr>
        <w:t>A empresa deverá comprovar por meio de documentos que cumpre a reserva de cotas em seu quadro geral de funcionário, conforme a lei 14.133 estabelece.</w:t>
      </w:r>
    </w:p>
    <w:p w14:paraId="7E3D4204" w14:textId="77777777" w:rsidR="00865DC2" w:rsidRPr="00A57A7C" w:rsidRDefault="00865DC2"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p>
    <w:p w14:paraId="6D5B0DC7" w14:textId="77777777" w:rsid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kern w:val="0"/>
          <w:sz w:val="24"/>
          <w:szCs w:val="24"/>
          <w:lang w:eastAsia="pt-BR"/>
          <w14:ligatures w14:val="none"/>
        </w:rPr>
        <w:t>b) Haverá inabilitação (durante o trâmite do processo licitatório) ou penalização de empresas (durante a execução contratual) que embora façam a reserva de cotas e tenham comprovação de que envidaram todos os esforços necessários para as contratações, foram prejudicadas por fatores alheios à sua vontade e não conseguiram preencher o percentual mínimo estabelecido em lei no momento de participação do processo licitatório?</w:t>
      </w:r>
    </w:p>
    <w:p w14:paraId="2F53E77D" w14:textId="77777777" w:rsidR="00593B2C" w:rsidRPr="00593B2C" w:rsidRDefault="00593B2C" w:rsidP="00A57A7C">
      <w:pPr>
        <w:shd w:val="clear" w:color="auto" w:fill="FFFFFF"/>
        <w:spacing w:after="0" w:line="330" w:lineRule="atLeast"/>
        <w:jc w:val="both"/>
        <w:rPr>
          <w:rFonts w:ascii="Arial" w:eastAsia="Times New Roman" w:hAnsi="Arial" w:cs="Arial"/>
          <w:color w:val="0070C0"/>
          <w:kern w:val="0"/>
          <w:sz w:val="24"/>
          <w:szCs w:val="24"/>
          <w:lang w:eastAsia="pt-BR"/>
          <w14:ligatures w14:val="none"/>
        </w:rPr>
      </w:pPr>
    </w:p>
    <w:p w14:paraId="29AC5373" w14:textId="3E9DDE96" w:rsidR="00593B2C" w:rsidRPr="00593B2C" w:rsidRDefault="00593B2C" w:rsidP="00A57A7C">
      <w:pPr>
        <w:shd w:val="clear" w:color="auto" w:fill="FFFFFF"/>
        <w:spacing w:after="0" w:line="330" w:lineRule="atLeast"/>
        <w:jc w:val="both"/>
        <w:rPr>
          <w:rFonts w:ascii="Arial" w:eastAsia="Times New Roman" w:hAnsi="Arial" w:cs="Arial"/>
          <w:color w:val="0070C0"/>
          <w:kern w:val="0"/>
          <w:sz w:val="24"/>
          <w:szCs w:val="24"/>
          <w:lang w:eastAsia="pt-BR"/>
          <w14:ligatures w14:val="none"/>
        </w:rPr>
      </w:pPr>
      <w:r w:rsidRPr="00593B2C">
        <w:rPr>
          <w:rFonts w:ascii="Arial" w:eastAsia="Times New Roman" w:hAnsi="Arial" w:cs="Arial"/>
          <w:color w:val="0070C0"/>
          <w:kern w:val="0"/>
          <w:sz w:val="24"/>
          <w:szCs w:val="24"/>
          <w:lang w:eastAsia="pt-BR"/>
          <w14:ligatures w14:val="none"/>
        </w:rPr>
        <w:t>Caso não cumpra a reserva de cotas mas evidencia os esforços necessários para as contratações e mantém em aberto quadro de vagas de modo a suprir estas vagas, não será penalizada.</w:t>
      </w:r>
      <w:r>
        <w:rPr>
          <w:rFonts w:ascii="Arial" w:eastAsia="Times New Roman" w:hAnsi="Arial" w:cs="Arial"/>
          <w:color w:val="0070C0"/>
          <w:kern w:val="0"/>
          <w:sz w:val="24"/>
          <w:szCs w:val="24"/>
          <w:lang w:eastAsia="pt-BR"/>
          <w14:ligatures w14:val="none"/>
        </w:rPr>
        <w:t xml:space="preserve"> A empresa deverá fornecer declaração de que cumpre com a legislação.</w:t>
      </w:r>
    </w:p>
    <w:p w14:paraId="150857BE" w14:textId="77777777" w:rsidR="00593B2C" w:rsidRPr="00A57A7C" w:rsidRDefault="00593B2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p>
    <w:p w14:paraId="592C6DE6" w14:textId="77777777" w:rsid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kern w:val="0"/>
          <w:sz w:val="24"/>
          <w:szCs w:val="24"/>
          <w:lang w:eastAsia="pt-BR"/>
          <w14:ligatures w14:val="none"/>
        </w:rPr>
        <w:t> c) Dentre as vagas estabelecidas no termo de referência, haverá reserva para pessoas com deficiência? Quais as limitações as licitantes podem encontrar no local de prestação de serviços que impeça a contratação de pessoas com deficiência para execução dos serviços?</w:t>
      </w:r>
    </w:p>
    <w:p w14:paraId="6CA34F69" w14:textId="77777777" w:rsidR="00134ACE" w:rsidRDefault="00134ACE"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p>
    <w:p w14:paraId="02BA2C3A" w14:textId="731A2BFB" w:rsidR="00134ACE" w:rsidRPr="00134ACE" w:rsidRDefault="00134ACE" w:rsidP="00A57A7C">
      <w:pPr>
        <w:shd w:val="clear" w:color="auto" w:fill="FFFFFF"/>
        <w:spacing w:after="0" w:line="330" w:lineRule="atLeast"/>
        <w:jc w:val="both"/>
        <w:rPr>
          <w:rFonts w:ascii="Arial" w:eastAsia="Times New Roman" w:hAnsi="Arial" w:cs="Arial"/>
          <w:color w:val="0070C0"/>
          <w:kern w:val="0"/>
          <w:sz w:val="24"/>
          <w:szCs w:val="24"/>
          <w:lang w:eastAsia="pt-BR"/>
          <w14:ligatures w14:val="none"/>
        </w:rPr>
      </w:pPr>
      <w:r w:rsidRPr="00134ACE">
        <w:rPr>
          <w:rFonts w:ascii="Arial" w:eastAsia="Times New Roman" w:hAnsi="Arial" w:cs="Arial"/>
          <w:color w:val="0070C0"/>
          <w:kern w:val="0"/>
          <w:sz w:val="24"/>
          <w:szCs w:val="24"/>
          <w:lang w:eastAsia="pt-BR"/>
          <w14:ligatures w14:val="none"/>
        </w:rPr>
        <w:t>Não há exigência de PCD para as vagas ofertadas.</w:t>
      </w:r>
    </w:p>
    <w:p w14:paraId="09594D2F" w14:textId="77777777" w:rsidR="00134ACE" w:rsidRPr="00A57A7C" w:rsidRDefault="00134ACE"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p>
    <w:p w14:paraId="1880EBE5" w14:textId="77777777" w:rsidR="00A57A7C" w:rsidRDefault="00A57A7C"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kern w:val="0"/>
          <w:sz w:val="24"/>
          <w:szCs w:val="24"/>
          <w:lang w:eastAsia="pt-BR"/>
          <w14:ligatures w14:val="none"/>
        </w:rPr>
        <w:t> d) Dentre as vagas estabelecidas no termo de referência, haverá reserva para aprendizes? Como será feita a questão da jornada de trabalho, atividades e remuneração?</w:t>
      </w:r>
    </w:p>
    <w:p w14:paraId="3E5D0632" w14:textId="77777777" w:rsidR="00950E1D" w:rsidRDefault="00950E1D" w:rsidP="00A57A7C">
      <w:pPr>
        <w:shd w:val="clear" w:color="auto" w:fill="FFFFFF"/>
        <w:spacing w:after="0" w:line="330" w:lineRule="atLeast"/>
        <w:jc w:val="both"/>
        <w:rPr>
          <w:rFonts w:ascii="Arial" w:eastAsia="Times New Roman" w:hAnsi="Arial" w:cs="Arial"/>
          <w:color w:val="222222"/>
          <w:kern w:val="0"/>
          <w:sz w:val="24"/>
          <w:szCs w:val="24"/>
          <w:lang w:eastAsia="pt-BR"/>
          <w14:ligatures w14:val="none"/>
        </w:rPr>
      </w:pPr>
    </w:p>
    <w:p w14:paraId="169F3307" w14:textId="2EF4EB95" w:rsidR="00950E1D" w:rsidRPr="00950E1D" w:rsidRDefault="00950E1D" w:rsidP="00A57A7C">
      <w:pPr>
        <w:shd w:val="clear" w:color="auto" w:fill="FFFFFF"/>
        <w:spacing w:after="0" w:line="330" w:lineRule="atLeast"/>
        <w:jc w:val="both"/>
        <w:rPr>
          <w:rFonts w:ascii="Arial" w:eastAsia="Times New Roman" w:hAnsi="Arial" w:cs="Arial"/>
          <w:color w:val="0070C0"/>
          <w:kern w:val="0"/>
          <w:sz w:val="24"/>
          <w:szCs w:val="24"/>
          <w:lang w:eastAsia="pt-BR"/>
          <w14:ligatures w14:val="none"/>
        </w:rPr>
      </w:pPr>
      <w:r w:rsidRPr="00950E1D">
        <w:rPr>
          <w:rFonts w:ascii="Arial" w:eastAsia="Times New Roman" w:hAnsi="Arial" w:cs="Arial"/>
          <w:color w:val="0070C0"/>
          <w:kern w:val="0"/>
          <w:sz w:val="24"/>
          <w:szCs w:val="24"/>
          <w:lang w:eastAsia="pt-BR"/>
          <w14:ligatures w14:val="none"/>
        </w:rPr>
        <w:t>Não há reserva para aprendizes nas vagas ofertadas.</w:t>
      </w:r>
    </w:p>
    <w:p w14:paraId="24E673C7" w14:textId="77777777" w:rsidR="00A57A7C" w:rsidRPr="00A57A7C" w:rsidRDefault="00A57A7C" w:rsidP="00A57A7C">
      <w:pPr>
        <w:shd w:val="clear" w:color="auto" w:fill="FFFFFF"/>
        <w:spacing w:after="0" w:line="330" w:lineRule="atLeast"/>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kern w:val="0"/>
          <w:sz w:val="24"/>
          <w:szCs w:val="24"/>
          <w:lang w:eastAsia="pt-BR"/>
          <w14:ligatures w14:val="none"/>
        </w:rPr>
        <w:t> </w:t>
      </w:r>
    </w:p>
    <w:p w14:paraId="37F46CFD" w14:textId="77777777" w:rsidR="00A57A7C" w:rsidRDefault="00A57A7C" w:rsidP="00A57A7C">
      <w:pPr>
        <w:shd w:val="clear" w:color="auto" w:fill="FFFFFF"/>
        <w:spacing w:line="235" w:lineRule="atLeast"/>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kern w:val="0"/>
          <w:sz w:val="24"/>
          <w:szCs w:val="24"/>
          <w:lang w:eastAsia="pt-BR"/>
          <w14:ligatures w14:val="none"/>
        </w:rPr>
        <w:t> 17) Solicitamos que seja garantido a publicidade e divulgação junto com o edital do ETP - Estudo Técnico Preliminar, caso não tenha sido feito junto do edital e seus anexos.</w:t>
      </w:r>
    </w:p>
    <w:p w14:paraId="0DD86E43" w14:textId="1A0CA51D" w:rsidR="00837DCF" w:rsidRPr="00837DCF" w:rsidRDefault="00837DCF" w:rsidP="00A57A7C">
      <w:pPr>
        <w:shd w:val="clear" w:color="auto" w:fill="FFFFFF"/>
        <w:spacing w:line="235" w:lineRule="atLeast"/>
        <w:rPr>
          <w:rFonts w:ascii="Arial" w:eastAsia="Times New Roman" w:hAnsi="Arial" w:cs="Arial"/>
          <w:color w:val="0070C0"/>
          <w:kern w:val="0"/>
          <w:sz w:val="24"/>
          <w:szCs w:val="24"/>
          <w:lang w:eastAsia="pt-BR"/>
          <w14:ligatures w14:val="none"/>
        </w:rPr>
      </w:pPr>
      <w:r w:rsidRPr="00837DCF">
        <w:rPr>
          <w:rFonts w:ascii="Arial" w:eastAsia="Times New Roman" w:hAnsi="Arial" w:cs="Arial"/>
          <w:color w:val="0070C0"/>
          <w:kern w:val="0"/>
          <w:sz w:val="24"/>
          <w:szCs w:val="24"/>
          <w:lang w:eastAsia="pt-BR"/>
          <w14:ligatures w14:val="none"/>
        </w:rPr>
        <w:t>Segundo o artigo 26 da homologação da lei 14.133 em nosso município, há um prazo de até 10 dias após a homologação para ser publicado o ETP.</w:t>
      </w:r>
    </w:p>
    <w:p w14:paraId="7A8EA005" w14:textId="595FD609" w:rsidR="00C66D6A" w:rsidRDefault="00C66D6A" w:rsidP="00A57A7C"/>
    <w:p w14:paraId="6D4C4FC6" w14:textId="2E477D57" w:rsidR="00932413" w:rsidRDefault="00A57A7C" w:rsidP="00A57A7C">
      <w:pPr>
        <w:jc w:val="both"/>
        <w:rPr>
          <w:rFonts w:ascii="Arial" w:eastAsia="Times New Roman" w:hAnsi="Arial" w:cs="Arial"/>
          <w:color w:val="222222"/>
          <w:kern w:val="0"/>
          <w:sz w:val="24"/>
          <w:szCs w:val="24"/>
          <w:lang w:eastAsia="pt-BR"/>
          <w14:ligatures w14:val="none"/>
        </w:rPr>
      </w:pPr>
      <w:r w:rsidRPr="00A57A7C">
        <w:rPr>
          <w:rFonts w:ascii="Arial" w:eastAsia="Times New Roman" w:hAnsi="Arial" w:cs="Arial"/>
          <w:color w:val="222222"/>
          <w:kern w:val="0"/>
          <w:sz w:val="24"/>
          <w:szCs w:val="24"/>
          <w:lang w:eastAsia="pt-BR"/>
          <w14:ligatures w14:val="none"/>
        </w:rPr>
        <w:t>18) A administração possui LTCAT para as funções solicitadas em edital? Caso posi</w:t>
      </w:r>
      <w:r>
        <w:rPr>
          <w:rFonts w:ascii="Arial" w:eastAsia="Arial" w:hAnsi="Arial" w:cs="Arial"/>
          <w:color w:val="222222"/>
          <w:kern w:val="0"/>
          <w:sz w:val="24"/>
          <w:szCs w:val="24"/>
          <w:lang w:eastAsia="pt-BR"/>
          <w14:ligatures w14:val="none"/>
        </w:rPr>
        <w:t>ti</w:t>
      </w:r>
      <w:r w:rsidRPr="00A57A7C">
        <w:rPr>
          <w:rFonts w:ascii="Arial" w:eastAsia="Times New Roman" w:hAnsi="Arial" w:cs="Arial"/>
          <w:color w:val="222222"/>
          <w:kern w:val="0"/>
          <w:sz w:val="24"/>
          <w:szCs w:val="24"/>
          <w:lang w:eastAsia="pt-BR"/>
          <w14:ligatures w14:val="none"/>
        </w:rPr>
        <w:t>vo, e não</w:t>
      </w:r>
      <w:r>
        <w:rPr>
          <w:rFonts w:ascii="Arial" w:eastAsia="Times New Roman" w:hAnsi="Arial" w:cs="Arial"/>
          <w:color w:val="222222"/>
          <w:kern w:val="0"/>
          <w:sz w:val="24"/>
          <w:szCs w:val="24"/>
          <w:lang w:eastAsia="pt-BR"/>
          <w14:ligatures w14:val="none"/>
        </w:rPr>
        <w:t xml:space="preserve"> </w:t>
      </w:r>
      <w:r w:rsidRPr="00A57A7C">
        <w:rPr>
          <w:rFonts w:ascii="Arial" w:eastAsia="Times New Roman" w:hAnsi="Arial" w:cs="Arial"/>
          <w:color w:val="222222"/>
          <w:kern w:val="0"/>
          <w:sz w:val="24"/>
          <w:szCs w:val="24"/>
          <w:lang w:eastAsia="pt-BR"/>
          <w14:ligatures w14:val="none"/>
        </w:rPr>
        <w:t>divulgado junto ao edital, favor disponibilizar. Caso nega</w:t>
      </w:r>
      <w:r>
        <w:rPr>
          <w:rFonts w:ascii="Arial" w:eastAsia="Arial" w:hAnsi="Arial" w:cs="Arial"/>
          <w:color w:val="222222"/>
          <w:kern w:val="0"/>
          <w:sz w:val="24"/>
          <w:szCs w:val="24"/>
          <w:lang w:eastAsia="pt-BR"/>
          <w14:ligatures w14:val="none"/>
        </w:rPr>
        <w:t>ti</w:t>
      </w:r>
      <w:r w:rsidRPr="00A57A7C">
        <w:rPr>
          <w:rFonts w:ascii="Arial" w:eastAsia="Times New Roman" w:hAnsi="Arial" w:cs="Arial"/>
          <w:color w:val="222222"/>
          <w:kern w:val="0"/>
          <w:sz w:val="24"/>
          <w:szCs w:val="24"/>
          <w:lang w:eastAsia="pt-BR"/>
          <w14:ligatures w14:val="none"/>
        </w:rPr>
        <w:t>vo, o LTCAT deverá ser feito com custas</w:t>
      </w:r>
      <w:r>
        <w:rPr>
          <w:rFonts w:ascii="Arial" w:eastAsia="Times New Roman" w:hAnsi="Arial" w:cs="Arial"/>
          <w:color w:val="222222"/>
          <w:kern w:val="0"/>
          <w:sz w:val="24"/>
          <w:szCs w:val="24"/>
          <w:lang w:eastAsia="pt-BR"/>
          <w14:ligatures w14:val="none"/>
        </w:rPr>
        <w:t xml:space="preserve"> </w:t>
      </w:r>
      <w:r w:rsidRPr="00A57A7C">
        <w:rPr>
          <w:rFonts w:ascii="Arial" w:eastAsia="Times New Roman" w:hAnsi="Arial" w:cs="Arial"/>
          <w:color w:val="222222"/>
          <w:kern w:val="0"/>
          <w:sz w:val="24"/>
          <w:szCs w:val="24"/>
          <w:lang w:eastAsia="pt-BR"/>
          <w14:ligatures w14:val="none"/>
        </w:rPr>
        <w:t>da administração e a contratada poderá solicitar reequilíbrio caso tenha incidência de algum</w:t>
      </w:r>
      <w:r>
        <w:rPr>
          <w:rFonts w:ascii="Arial" w:eastAsia="Times New Roman" w:hAnsi="Arial" w:cs="Arial"/>
          <w:color w:val="222222"/>
          <w:kern w:val="0"/>
          <w:sz w:val="24"/>
          <w:szCs w:val="24"/>
          <w:lang w:eastAsia="pt-BR"/>
          <w14:ligatures w14:val="none"/>
        </w:rPr>
        <w:t xml:space="preserve"> </w:t>
      </w:r>
      <w:r w:rsidRPr="00A57A7C">
        <w:rPr>
          <w:rFonts w:ascii="Arial" w:eastAsia="Times New Roman" w:hAnsi="Arial" w:cs="Arial"/>
          <w:color w:val="222222"/>
          <w:kern w:val="0"/>
          <w:sz w:val="24"/>
          <w:szCs w:val="24"/>
          <w:lang w:eastAsia="pt-BR"/>
          <w14:ligatures w14:val="none"/>
        </w:rPr>
        <w:t>adicional?</w:t>
      </w:r>
    </w:p>
    <w:p w14:paraId="6474AE68" w14:textId="219E7E71" w:rsidR="00932413" w:rsidRPr="00932413" w:rsidRDefault="00932413" w:rsidP="00A57A7C">
      <w:pPr>
        <w:jc w:val="both"/>
        <w:rPr>
          <w:rFonts w:ascii="Arial" w:eastAsia="Times New Roman" w:hAnsi="Arial" w:cs="Arial"/>
          <w:color w:val="0070C0"/>
          <w:kern w:val="0"/>
          <w:sz w:val="24"/>
          <w:szCs w:val="24"/>
          <w:lang w:eastAsia="pt-BR"/>
          <w14:ligatures w14:val="none"/>
        </w:rPr>
      </w:pPr>
      <w:r w:rsidRPr="00932413">
        <w:rPr>
          <w:rFonts w:ascii="Arial" w:eastAsia="Times New Roman" w:hAnsi="Arial" w:cs="Arial"/>
          <w:color w:val="0070C0"/>
          <w:kern w:val="0"/>
          <w:sz w:val="24"/>
          <w:szCs w:val="24"/>
          <w:lang w:eastAsia="pt-BR"/>
          <w14:ligatures w14:val="none"/>
        </w:rPr>
        <w:t xml:space="preserve">A </w:t>
      </w:r>
      <w:r w:rsidR="00EC6FD0" w:rsidRPr="00932413">
        <w:rPr>
          <w:rFonts w:ascii="Arial" w:eastAsia="Times New Roman" w:hAnsi="Arial" w:cs="Arial"/>
          <w:color w:val="0070C0"/>
          <w:kern w:val="0"/>
          <w:sz w:val="24"/>
          <w:szCs w:val="24"/>
          <w:lang w:eastAsia="pt-BR"/>
          <w14:ligatures w14:val="none"/>
        </w:rPr>
        <w:t>Administração</w:t>
      </w:r>
      <w:r w:rsidRPr="00932413">
        <w:rPr>
          <w:rFonts w:ascii="Arial" w:eastAsia="Times New Roman" w:hAnsi="Arial" w:cs="Arial"/>
          <w:color w:val="0070C0"/>
          <w:kern w:val="0"/>
          <w:sz w:val="24"/>
          <w:szCs w:val="24"/>
          <w:lang w:eastAsia="pt-BR"/>
          <w14:ligatures w14:val="none"/>
        </w:rPr>
        <w:t xml:space="preserve"> não possui LTCAT para as funções solicitadas no objeto deste processo licitatório, pois não possui este cargo em seu quadro de vagas oficial.</w:t>
      </w:r>
    </w:p>
    <w:p w14:paraId="0C58DE08" w14:textId="5F2E72C7" w:rsidR="00932413" w:rsidRPr="00932413" w:rsidRDefault="00932413" w:rsidP="00A57A7C">
      <w:pPr>
        <w:jc w:val="both"/>
        <w:rPr>
          <w:rFonts w:ascii="Arial" w:eastAsia="Times New Roman" w:hAnsi="Arial" w:cs="Arial"/>
          <w:color w:val="0070C0"/>
          <w:kern w:val="0"/>
          <w:sz w:val="24"/>
          <w:szCs w:val="24"/>
          <w:lang w:eastAsia="pt-BR"/>
          <w14:ligatures w14:val="none"/>
        </w:rPr>
      </w:pPr>
      <w:r w:rsidRPr="00932413">
        <w:rPr>
          <w:rFonts w:ascii="Arial" w:eastAsia="Times New Roman" w:hAnsi="Arial" w:cs="Arial"/>
          <w:color w:val="0070C0"/>
          <w:kern w:val="0"/>
          <w:sz w:val="24"/>
          <w:szCs w:val="24"/>
          <w:lang w:eastAsia="pt-BR"/>
          <w14:ligatures w14:val="none"/>
        </w:rPr>
        <w:t>Os custos são por conta da Contratada e já devem estar previstos nos custos gerais</w:t>
      </w:r>
      <w:r>
        <w:rPr>
          <w:rFonts w:ascii="Arial" w:eastAsia="Times New Roman" w:hAnsi="Arial" w:cs="Arial"/>
          <w:color w:val="0070C0"/>
          <w:kern w:val="0"/>
          <w:sz w:val="24"/>
          <w:szCs w:val="24"/>
          <w:lang w:eastAsia="pt-BR"/>
          <w14:ligatures w14:val="none"/>
        </w:rPr>
        <w:t xml:space="preserve"> do objeto</w:t>
      </w:r>
      <w:r w:rsidRPr="00932413">
        <w:rPr>
          <w:rFonts w:ascii="Arial" w:eastAsia="Times New Roman" w:hAnsi="Arial" w:cs="Arial"/>
          <w:color w:val="0070C0"/>
          <w:kern w:val="0"/>
          <w:sz w:val="24"/>
          <w:szCs w:val="24"/>
          <w:lang w:eastAsia="pt-BR"/>
          <w14:ligatures w14:val="none"/>
        </w:rPr>
        <w:t>.</w:t>
      </w:r>
    </w:p>
    <w:p w14:paraId="029BA452" w14:textId="77777777" w:rsidR="00A57A7C" w:rsidRPr="00A57A7C" w:rsidRDefault="00A57A7C" w:rsidP="00A57A7C">
      <w:pPr>
        <w:jc w:val="right"/>
        <w:rPr>
          <w:rFonts w:ascii="Arial" w:eastAsia="Times New Roman" w:hAnsi="Arial" w:cs="Arial"/>
          <w:color w:val="222222"/>
          <w:kern w:val="0"/>
          <w:sz w:val="20"/>
          <w:szCs w:val="20"/>
          <w:lang w:eastAsia="pt-BR"/>
          <w14:ligatures w14:val="none"/>
        </w:rPr>
      </w:pPr>
      <w:r w:rsidRPr="00A57A7C">
        <w:rPr>
          <w:rFonts w:ascii="Arial" w:eastAsia="Times New Roman" w:hAnsi="Arial" w:cs="Arial"/>
          <w:color w:val="222222"/>
          <w:kern w:val="0"/>
          <w:sz w:val="20"/>
          <w:szCs w:val="20"/>
          <w:lang w:eastAsia="pt-BR"/>
          <w14:ligatures w14:val="none"/>
        </w:rPr>
        <w:t>ACÓRDÃO 1496/2023 - PLENÁRIO (Min. Jhonatan de Jesus)</w:t>
      </w:r>
    </w:p>
    <w:p w14:paraId="27FB8A60" w14:textId="77777777" w:rsidR="00A57A7C" w:rsidRPr="00A57A7C" w:rsidRDefault="00A57A7C" w:rsidP="00A57A7C">
      <w:pPr>
        <w:jc w:val="right"/>
        <w:rPr>
          <w:rFonts w:ascii="Arial" w:eastAsia="Times New Roman" w:hAnsi="Arial" w:cs="Arial"/>
          <w:color w:val="222222"/>
          <w:kern w:val="0"/>
          <w:sz w:val="20"/>
          <w:szCs w:val="20"/>
          <w:lang w:eastAsia="pt-BR"/>
          <w14:ligatures w14:val="none"/>
        </w:rPr>
      </w:pPr>
      <w:r w:rsidRPr="00A57A7C">
        <w:rPr>
          <w:rFonts w:ascii="Arial" w:eastAsia="Times New Roman" w:hAnsi="Arial" w:cs="Arial"/>
          <w:color w:val="222222"/>
          <w:kern w:val="0"/>
          <w:sz w:val="20"/>
          <w:szCs w:val="20"/>
          <w:lang w:eastAsia="pt-BR"/>
          <w14:ligatures w14:val="none"/>
        </w:rPr>
        <w:t>"(...)</w:t>
      </w:r>
    </w:p>
    <w:p w14:paraId="77F83B46" w14:textId="77777777" w:rsidR="00A57A7C" w:rsidRPr="00A57A7C" w:rsidRDefault="00A57A7C" w:rsidP="00A57A7C">
      <w:pPr>
        <w:jc w:val="right"/>
        <w:rPr>
          <w:rFonts w:ascii="Arial" w:eastAsia="Times New Roman" w:hAnsi="Arial" w:cs="Arial"/>
          <w:color w:val="222222"/>
          <w:kern w:val="0"/>
          <w:sz w:val="20"/>
          <w:szCs w:val="20"/>
          <w:lang w:eastAsia="pt-BR"/>
          <w14:ligatures w14:val="none"/>
        </w:rPr>
      </w:pPr>
      <w:r w:rsidRPr="00A57A7C">
        <w:rPr>
          <w:rFonts w:ascii="Arial" w:eastAsia="Times New Roman" w:hAnsi="Arial" w:cs="Arial"/>
          <w:color w:val="222222"/>
          <w:kern w:val="0"/>
          <w:sz w:val="20"/>
          <w:szCs w:val="20"/>
          <w:lang w:eastAsia="pt-BR"/>
          <w14:ligatures w14:val="none"/>
        </w:rPr>
        <w:t>9.5. dar ciência ao Hospital Federal do Andaraí de que a inexistência dos laudos</w:t>
      </w:r>
    </w:p>
    <w:p w14:paraId="0906D855" w14:textId="77777777" w:rsidR="00A57A7C" w:rsidRPr="00A57A7C" w:rsidRDefault="00A57A7C" w:rsidP="00A57A7C">
      <w:pPr>
        <w:jc w:val="right"/>
        <w:rPr>
          <w:rFonts w:ascii="Arial" w:eastAsia="Times New Roman" w:hAnsi="Arial" w:cs="Arial"/>
          <w:color w:val="222222"/>
          <w:kern w:val="0"/>
          <w:sz w:val="20"/>
          <w:szCs w:val="20"/>
          <w:lang w:eastAsia="pt-BR"/>
          <w14:ligatures w14:val="none"/>
        </w:rPr>
      </w:pPr>
      <w:r w:rsidRPr="00A57A7C">
        <w:rPr>
          <w:rFonts w:ascii="Arial" w:eastAsia="Times New Roman" w:hAnsi="Arial" w:cs="Arial"/>
          <w:color w:val="222222"/>
          <w:kern w:val="0"/>
          <w:sz w:val="20"/>
          <w:szCs w:val="20"/>
          <w:lang w:eastAsia="pt-BR"/>
          <w14:ligatures w14:val="none"/>
        </w:rPr>
        <w:t>periciais acerca dos adicionais de insalubridade e periculosidade, elementos</w:t>
      </w:r>
    </w:p>
    <w:p w14:paraId="66A5D792" w14:textId="77777777" w:rsidR="00A57A7C" w:rsidRPr="00A57A7C" w:rsidRDefault="00A57A7C" w:rsidP="00A57A7C">
      <w:pPr>
        <w:jc w:val="right"/>
        <w:rPr>
          <w:rFonts w:ascii="Arial" w:eastAsia="Times New Roman" w:hAnsi="Arial" w:cs="Arial"/>
          <w:color w:val="222222"/>
          <w:kern w:val="0"/>
          <w:sz w:val="20"/>
          <w:szCs w:val="20"/>
          <w:lang w:eastAsia="pt-BR"/>
          <w14:ligatures w14:val="none"/>
        </w:rPr>
      </w:pPr>
      <w:r w:rsidRPr="00A57A7C">
        <w:rPr>
          <w:rFonts w:ascii="Arial" w:eastAsia="Times New Roman" w:hAnsi="Arial" w:cs="Arial"/>
          <w:color w:val="222222"/>
          <w:kern w:val="0"/>
          <w:sz w:val="20"/>
          <w:szCs w:val="20"/>
          <w:lang w:eastAsia="pt-BR"/>
          <w14:ligatures w14:val="none"/>
        </w:rPr>
        <w:t>imprescindíveis para a composição de edital de licitação com vistas à</w:t>
      </w:r>
    </w:p>
    <w:p w14:paraId="034BD9B4" w14:textId="77777777" w:rsidR="00A57A7C" w:rsidRPr="00A57A7C" w:rsidRDefault="00A57A7C" w:rsidP="00A57A7C">
      <w:pPr>
        <w:jc w:val="right"/>
        <w:rPr>
          <w:rFonts w:ascii="Arial" w:eastAsia="Times New Roman" w:hAnsi="Arial" w:cs="Arial"/>
          <w:color w:val="222222"/>
          <w:kern w:val="0"/>
          <w:sz w:val="20"/>
          <w:szCs w:val="20"/>
          <w:lang w:eastAsia="pt-BR"/>
          <w14:ligatures w14:val="none"/>
        </w:rPr>
      </w:pPr>
      <w:r w:rsidRPr="00A57A7C">
        <w:rPr>
          <w:rFonts w:ascii="Arial" w:eastAsia="Times New Roman" w:hAnsi="Arial" w:cs="Arial"/>
          <w:color w:val="222222"/>
          <w:kern w:val="0"/>
          <w:sz w:val="20"/>
          <w:szCs w:val="20"/>
          <w:lang w:eastAsia="pt-BR"/>
          <w14:ligatures w14:val="none"/>
        </w:rPr>
        <w:t>contratação de mão de obra, está em desacordo com precedentes desta Corte,</w:t>
      </w:r>
    </w:p>
    <w:p w14:paraId="0FEB83D1" w14:textId="77777777" w:rsidR="00A57A7C" w:rsidRPr="00A57A7C" w:rsidRDefault="00A57A7C" w:rsidP="00A57A7C">
      <w:pPr>
        <w:jc w:val="right"/>
        <w:rPr>
          <w:rFonts w:ascii="Arial" w:eastAsia="Times New Roman" w:hAnsi="Arial" w:cs="Arial"/>
          <w:color w:val="222222"/>
          <w:kern w:val="0"/>
          <w:sz w:val="20"/>
          <w:szCs w:val="20"/>
          <w:lang w:eastAsia="pt-BR"/>
          <w14:ligatures w14:val="none"/>
        </w:rPr>
      </w:pPr>
      <w:r w:rsidRPr="00A57A7C">
        <w:rPr>
          <w:rFonts w:ascii="Arial" w:eastAsia="Times New Roman" w:hAnsi="Arial" w:cs="Arial"/>
          <w:color w:val="222222"/>
          <w:kern w:val="0"/>
          <w:sz w:val="20"/>
          <w:szCs w:val="20"/>
          <w:lang w:eastAsia="pt-BR"/>
          <w14:ligatures w14:val="none"/>
        </w:rPr>
        <w:t>a exemplo dos Acórdão 14539/2019-TCU-Primeira Câmara e 4.972/2011-TCU-</w:t>
      </w:r>
    </w:p>
    <w:p w14:paraId="7B932188" w14:textId="592CAFF5" w:rsidR="00A57A7C" w:rsidRPr="00A57A7C" w:rsidRDefault="00A57A7C" w:rsidP="00A57A7C">
      <w:pPr>
        <w:jc w:val="right"/>
        <w:rPr>
          <w:rFonts w:ascii="Arial" w:eastAsia="Times New Roman" w:hAnsi="Arial" w:cs="Arial"/>
          <w:color w:val="222222"/>
          <w:kern w:val="0"/>
          <w:sz w:val="20"/>
          <w:szCs w:val="20"/>
          <w:lang w:eastAsia="pt-BR"/>
          <w14:ligatures w14:val="none"/>
        </w:rPr>
      </w:pPr>
      <w:r w:rsidRPr="00A57A7C">
        <w:rPr>
          <w:rFonts w:ascii="Arial" w:eastAsia="Times New Roman" w:hAnsi="Arial" w:cs="Arial"/>
          <w:color w:val="222222"/>
          <w:kern w:val="0"/>
          <w:sz w:val="20"/>
          <w:szCs w:val="20"/>
          <w:lang w:eastAsia="pt-BR"/>
          <w14:ligatures w14:val="none"/>
        </w:rPr>
        <w:t>2ª Câmara;"</w:t>
      </w:r>
    </w:p>
    <w:sectPr w:rsidR="00A57A7C" w:rsidRPr="00A57A7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AD26AF"/>
    <w:multiLevelType w:val="multilevel"/>
    <w:tmpl w:val="A37C4F38"/>
    <w:lvl w:ilvl="0">
      <w:start w:val="4"/>
      <w:numFmt w:val="decimal"/>
      <w:lvlText w:val="%1."/>
      <w:lvlJc w:val="left"/>
      <w:pPr>
        <w:ind w:left="720" w:hanging="360"/>
      </w:pPr>
    </w:lvl>
    <w:lvl w:ilvl="1">
      <w:start w:val="1"/>
      <w:numFmt w:val="decimal"/>
      <w:lvlText w:val="%1.%2."/>
      <w:lvlJc w:val="left"/>
      <w:pPr>
        <w:ind w:left="1353" w:hanging="359"/>
      </w:pPr>
      <w:rPr>
        <w:color w:val="000000"/>
      </w:rPr>
    </w:lvl>
    <w:lvl w:ilvl="2">
      <w:start w:val="1"/>
      <w:numFmt w:val="decimal"/>
      <w:lvlText w:val="%1.%2.%3."/>
      <w:lvlJc w:val="left"/>
      <w:pPr>
        <w:ind w:left="1800" w:hanging="720"/>
      </w:pPr>
      <w:rPr>
        <w:i w:val="0"/>
        <w:color w:val="000000"/>
      </w:rPr>
    </w:lvl>
    <w:lvl w:ilvl="3">
      <w:start w:val="1"/>
      <w:numFmt w:val="decimal"/>
      <w:lvlText w:val="%1.%2.%3.%4."/>
      <w:lvlJc w:val="left"/>
      <w:pPr>
        <w:ind w:left="2160" w:hanging="720"/>
      </w:pPr>
      <w:rPr>
        <w:i w:val="0"/>
        <w:color w:val="000000"/>
      </w:r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 w15:restartNumberingAfterBreak="0">
    <w:nsid w:val="4B2C2379"/>
    <w:multiLevelType w:val="multilevel"/>
    <w:tmpl w:val="1780ED76"/>
    <w:lvl w:ilvl="0">
      <w:start w:val="1"/>
      <w:numFmt w:val="decimal"/>
      <w:lvlText w:val="%1"/>
      <w:lvlJc w:val="left"/>
      <w:pPr>
        <w:ind w:left="360" w:hanging="360"/>
      </w:pPr>
    </w:lvl>
    <w:lvl w:ilvl="1">
      <w:start w:val="4"/>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16cid:durableId="2095199144">
    <w:abstractNumId w:val="0"/>
  </w:num>
  <w:num w:numId="2" w16cid:durableId="604189836">
    <w:abstractNumId w:val="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D6A"/>
    <w:rsid w:val="000A11D0"/>
    <w:rsid w:val="000C71F6"/>
    <w:rsid w:val="00116771"/>
    <w:rsid w:val="00134ACE"/>
    <w:rsid w:val="0016454D"/>
    <w:rsid w:val="00222468"/>
    <w:rsid w:val="002E2A08"/>
    <w:rsid w:val="00360E18"/>
    <w:rsid w:val="003F2508"/>
    <w:rsid w:val="00420A9E"/>
    <w:rsid w:val="00593B2C"/>
    <w:rsid w:val="00617811"/>
    <w:rsid w:val="006B3987"/>
    <w:rsid w:val="00837DCF"/>
    <w:rsid w:val="00865DC2"/>
    <w:rsid w:val="008814D5"/>
    <w:rsid w:val="00932413"/>
    <w:rsid w:val="00950E1D"/>
    <w:rsid w:val="009F2C63"/>
    <w:rsid w:val="00A57A7C"/>
    <w:rsid w:val="00A84EBB"/>
    <w:rsid w:val="00B61489"/>
    <w:rsid w:val="00B82B25"/>
    <w:rsid w:val="00C427BB"/>
    <w:rsid w:val="00C66D6A"/>
    <w:rsid w:val="00C95298"/>
    <w:rsid w:val="00D31F52"/>
    <w:rsid w:val="00D63334"/>
    <w:rsid w:val="00D859BD"/>
    <w:rsid w:val="00EC6FD0"/>
    <w:rsid w:val="00F61447"/>
    <w:rsid w:val="00F627AC"/>
    <w:rsid w:val="00FE4B1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F4FC1"/>
  <w15:chartTrackingRefBased/>
  <w15:docId w15:val="{8D6EFF2F-B4FF-449A-9CE7-89E51229E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6B3987"/>
    <w:pPr>
      <w:ind w:left="720"/>
      <w:contextualSpacing/>
    </w:pPr>
  </w:style>
  <w:style w:type="character" w:styleId="Hyperlink">
    <w:name w:val="Hyperlink"/>
    <w:basedOn w:val="Fontepargpadro"/>
    <w:uiPriority w:val="99"/>
    <w:unhideWhenUsed/>
    <w:rsid w:val="008814D5"/>
    <w:rPr>
      <w:color w:val="0563C1" w:themeColor="hyperlink"/>
      <w:u w:val="single"/>
    </w:rPr>
  </w:style>
  <w:style w:type="character" w:styleId="MenoPendente">
    <w:name w:val="Unresolved Mention"/>
    <w:basedOn w:val="Fontepargpadro"/>
    <w:uiPriority w:val="99"/>
    <w:semiHidden/>
    <w:unhideWhenUsed/>
    <w:rsid w:val="008814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787866">
      <w:bodyDiv w:val="1"/>
      <w:marLeft w:val="0"/>
      <w:marRight w:val="0"/>
      <w:marTop w:val="0"/>
      <w:marBottom w:val="0"/>
      <w:divBdr>
        <w:top w:val="none" w:sz="0" w:space="0" w:color="auto"/>
        <w:left w:val="none" w:sz="0" w:space="0" w:color="auto"/>
        <w:bottom w:val="none" w:sz="0" w:space="0" w:color="auto"/>
        <w:right w:val="none" w:sz="0" w:space="0" w:color="auto"/>
      </w:divBdr>
    </w:div>
    <w:div w:id="383021409">
      <w:bodyDiv w:val="1"/>
      <w:marLeft w:val="0"/>
      <w:marRight w:val="0"/>
      <w:marTop w:val="0"/>
      <w:marBottom w:val="0"/>
      <w:divBdr>
        <w:top w:val="none" w:sz="0" w:space="0" w:color="auto"/>
        <w:left w:val="none" w:sz="0" w:space="0" w:color="auto"/>
        <w:bottom w:val="none" w:sz="0" w:space="0" w:color="auto"/>
        <w:right w:val="none" w:sz="0" w:space="0" w:color="auto"/>
      </w:divBdr>
    </w:div>
    <w:div w:id="635454359">
      <w:bodyDiv w:val="1"/>
      <w:marLeft w:val="0"/>
      <w:marRight w:val="0"/>
      <w:marTop w:val="0"/>
      <w:marBottom w:val="0"/>
      <w:divBdr>
        <w:top w:val="none" w:sz="0" w:space="0" w:color="auto"/>
        <w:left w:val="none" w:sz="0" w:space="0" w:color="auto"/>
        <w:bottom w:val="none" w:sz="0" w:space="0" w:color="auto"/>
        <w:right w:val="none" w:sz="0" w:space="0" w:color="auto"/>
      </w:divBdr>
    </w:div>
    <w:div w:id="1114055210">
      <w:bodyDiv w:val="1"/>
      <w:marLeft w:val="0"/>
      <w:marRight w:val="0"/>
      <w:marTop w:val="0"/>
      <w:marBottom w:val="0"/>
      <w:divBdr>
        <w:top w:val="none" w:sz="0" w:space="0" w:color="auto"/>
        <w:left w:val="none" w:sz="0" w:space="0" w:color="auto"/>
        <w:bottom w:val="none" w:sz="0" w:space="0" w:color="auto"/>
        <w:right w:val="none" w:sz="0" w:space="0" w:color="auto"/>
      </w:divBdr>
      <w:divsChild>
        <w:div w:id="872693673">
          <w:marLeft w:val="0"/>
          <w:marRight w:val="0"/>
          <w:marTop w:val="0"/>
          <w:marBottom w:val="0"/>
          <w:divBdr>
            <w:top w:val="none" w:sz="0" w:space="0" w:color="auto"/>
            <w:left w:val="none" w:sz="0" w:space="0" w:color="auto"/>
            <w:bottom w:val="none" w:sz="0" w:space="0" w:color="auto"/>
            <w:right w:val="none" w:sz="0" w:space="0" w:color="auto"/>
          </w:divBdr>
        </w:div>
        <w:div w:id="1546024793">
          <w:marLeft w:val="0"/>
          <w:marRight w:val="0"/>
          <w:marTop w:val="0"/>
          <w:marBottom w:val="0"/>
          <w:divBdr>
            <w:top w:val="none" w:sz="0" w:space="0" w:color="auto"/>
            <w:left w:val="none" w:sz="0" w:space="0" w:color="auto"/>
            <w:bottom w:val="none" w:sz="0" w:space="0" w:color="auto"/>
            <w:right w:val="none" w:sz="0" w:space="0" w:color="auto"/>
          </w:divBdr>
        </w:div>
      </w:divsChild>
    </w:div>
    <w:div w:id="1227298894">
      <w:bodyDiv w:val="1"/>
      <w:marLeft w:val="0"/>
      <w:marRight w:val="0"/>
      <w:marTop w:val="0"/>
      <w:marBottom w:val="0"/>
      <w:divBdr>
        <w:top w:val="none" w:sz="0" w:space="0" w:color="auto"/>
        <w:left w:val="none" w:sz="0" w:space="0" w:color="auto"/>
        <w:bottom w:val="none" w:sz="0" w:space="0" w:color="auto"/>
        <w:right w:val="none" w:sz="0" w:space="0" w:color="auto"/>
      </w:divBdr>
    </w:div>
    <w:div w:id="1672022776">
      <w:bodyDiv w:val="1"/>
      <w:marLeft w:val="0"/>
      <w:marRight w:val="0"/>
      <w:marTop w:val="0"/>
      <w:marBottom w:val="0"/>
      <w:divBdr>
        <w:top w:val="none" w:sz="0" w:space="0" w:color="auto"/>
        <w:left w:val="none" w:sz="0" w:space="0" w:color="auto"/>
        <w:bottom w:val="none" w:sz="0" w:space="0" w:color="auto"/>
        <w:right w:val="none" w:sz="0" w:space="0" w:color="auto"/>
      </w:divBdr>
    </w:div>
    <w:div w:id="1799108473">
      <w:bodyDiv w:val="1"/>
      <w:marLeft w:val="0"/>
      <w:marRight w:val="0"/>
      <w:marTop w:val="0"/>
      <w:marBottom w:val="0"/>
      <w:divBdr>
        <w:top w:val="none" w:sz="0" w:space="0" w:color="auto"/>
        <w:left w:val="none" w:sz="0" w:space="0" w:color="auto"/>
        <w:bottom w:val="none" w:sz="0" w:space="0" w:color="auto"/>
        <w:right w:val="none" w:sz="0" w:space="0" w:color="auto"/>
      </w:divBdr>
    </w:div>
    <w:div w:id="191712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pmcordi.sc.gov.br/licitacao/processo-licitatorio-57-2023-pregao-eletronico-srp-22-2023/" TargetMode="Externa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10</Pages>
  <Words>3251</Words>
  <Characters>17558</Characters>
  <Application>Microsoft Office Word</Application>
  <DocSecurity>0</DocSecurity>
  <Lines>146</Lines>
  <Paragraphs>41</Paragraphs>
  <ScaleCrop>false</ScaleCrop>
  <Company/>
  <LinksUpToDate>false</LinksUpToDate>
  <CharactersWithSpaces>20768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Orbenk Orbenk</dc:creator>
  <cp:keywords/>
  <dc:description/>
  <cp:lastModifiedBy>Rudimar Marafon</cp:lastModifiedBy>
  <cp:revision>22</cp:revision>
  <dcterms:created xsi:type="dcterms:W3CDTF">2024-05-14T11:29:00Z</dcterms:created>
  <dcterms:modified xsi:type="dcterms:W3CDTF">2024-05-14T12:46:00Z</dcterms:modified>
</cp:coreProperties>
</file>